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每日复盘 · 2026-06-16</w:t>
      </w:r>
    </w:p>
    <w:p>
      <w:r>
        <w:t>共 4 项日程，合计约 4.0 小时。</w:t>
      </w:r>
    </w:p>
    <w:p>
      <w:pPr>
        <w:pStyle w:val="Heading1"/>
      </w:pPr>
      <w:r>
        <w:rPr>
          <w:color w:val="2F5D50"/>
        </w:rPr>
        <w:t>时间去向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88"/>
            <w:shd w:val="clear" w:color="auto" w:fill="4FB0A5"/>
          </w:tcPr>
          <w:p>
            <w:pPr>
              <w:spacing w:after="40" w:before="40"/>
            </w:pPr>
            <w:r>
              <w:t xml:space="preserve"> </w:t>
            </w:r>
          </w:p>
        </w:tc>
        <w:tc>
          <w:tcPr>
            <w:tcW w:type="dxa" w:w="1980"/>
            <w:shd w:val="clear" w:color="auto" w:fill="EAEFF0"/>
          </w:tcPr>
          <w:p>
            <w:pPr>
              <w:spacing w:after="40" w:before="40"/>
            </w:pPr>
            <w:r>
              <w:t xml:space="preserve"> 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sz w:val="20"/>
              </w:rPr>
              <w:t>会议沟通 · 2.0 小时（2 项）</w:t>
            </w:r>
          </w:p>
        </w:tc>
      </w:tr>
      <w:tr>
        <w:tc>
          <w:tcPr>
            <w:tcW w:type="dxa" w:w="595"/>
            <w:shd w:val="clear" w:color="auto" w:fill="4FB0A5"/>
          </w:tcPr>
          <w:p>
            <w:pPr>
              <w:spacing w:after="40" w:before="40"/>
            </w:pPr>
            <w:r>
              <w:t xml:space="preserve"> </w:t>
            </w:r>
          </w:p>
        </w:tc>
        <w:tc>
          <w:tcPr>
            <w:tcW w:type="dxa" w:w="2573"/>
            <w:shd w:val="clear" w:color="auto" w:fill="EAEFF0"/>
          </w:tcPr>
          <w:p>
            <w:pPr>
              <w:spacing w:after="40" w:before="40"/>
            </w:pPr>
            <w:r>
              <w:t xml:space="preserve"> 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sz w:val="20"/>
              </w:rPr>
              <w:t>深度工作 · 1.0 小时（1 项）</w:t>
            </w:r>
          </w:p>
        </w:tc>
      </w:tr>
      <w:tr>
        <w:tc>
          <w:tcPr>
            <w:tcW w:type="dxa" w:w="595"/>
            <w:shd w:val="clear" w:color="auto" w:fill="4FB0A5"/>
          </w:tcPr>
          <w:p>
            <w:pPr>
              <w:spacing w:after="40" w:before="40"/>
            </w:pPr>
            <w:r>
              <w:t xml:space="preserve"> </w:t>
            </w:r>
          </w:p>
        </w:tc>
        <w:tc>
          <w:tcPr>
            <w:tcW w:type="dxa" w:w="2573"/>
            <w:shd w:val="clear" w:color="auto" w:fill="EAEFF0"/>
          </w:tcPr>
          <w:p>
            <w:pPr>
              <w:spacing w:after="40" w:before="40"/>
            </w:pPr>
            <w:r>
              <w:t xml:space="preserve"> 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sz w:val="20"/>
              </w:rPr>
              <w:t>生活健康 · 1.0 小时（1 项）</w:t>
            </w:r>
          </w:p>
        </w:tc>
      </w:tr>
    </w:tbl>
    <w:p>
      <w:pPr>
        <w:pStyle w:val="Heading1"/>
      </w:pPr>
      <w:r>
        <w:rPr>
          <w:color w:val="2F5D50"/>
        </w:rPr>
        <w:t>洞察与建议</w:t>
      </w:r>
    </w:p>
    <w:p>
      <w:pPr>
        <w:pStyle w:val="ListBullet"/>
      </w:pPr>
      <w:r>
        <w:t>完成率 25%（完成 1 / 取消 0 / 待办 3）。完成率偏低，下次排期时不妨少排一点、留出缓冲。</w:t>
      </w:r>
    </w:p>
    <w:p>
      <w:pPr>
        <w:pStyle w:val="ListBullet"/>
      </w:pPr>
      <w:r>
        <w:t>时间主要花在「会议沟通」上，约 2.0 小时，占 50%。</w:t>
      </w:r>
    </w:p>
    <w:p>
      <w:pPr>
        <w:pStyle w:val="Heading1"/>
      </w:pPr>
      <w:r>
        <w:rPr>
          <w:color w:val="2F5D50"/>
        </w:rPr>
        <w:t>日程明细</w:t>
      </w:r>
    </w:p>
    <w:p>
      <w:pPr>
        <w:pStyle w:val="ListBullet"/>
      </w:pPr>
      <w:r>
        <w:t>[● 完成] 2026-06-16 10:00 写产品方案</w:t>
      </w:r>
    </w:p>
    <w:p>
      <w:pPr>
        <w:pStyle w:val="ListBullet"/>
      </w:pPr>
      <w:r>
        <w:t>[○ 待办] 2026-06-16 15:00 跟老王开会 @ 公司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