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Базовые идеи политического либерализма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white"/>
        </w:rPr>
      </w:r>
    </w:p>
    <w:p>
      <w:pPr>
        <w:pBdr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 в трудах Иммануила Канта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</w:r>
      <w:r>
        <w:rPr>
          <w:i/>
          <w:iCs/>
          <w:sz w:val="28"/>
          <w:szCs w:val="28"/>
        </w:rPr>
      </w:r>
    </w:p>
    <w:p>
      <w:pPr>
        <w:pBdr/>
        <w:spacing w:line="24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Либерализм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 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от </w:t>
      </w:r>
      <w:hyperlink r:id="rId9" w:tooltip="Латинский язык" w:history="1">
        <w:r>
          <w:rPr>
            <w:rStyle w:val="186"/>
            <w:rFonts w:ascii="Times New Roman" w:hAnsi="Times New Roman" w:eastAsia="Times New Roman" w:cs="Times New Roman"/>
            <w:color w:val="000000" w:themeColor="text1"/>
            <w:sz w:val="28"/>
            <w:szCs w:val="28"/>
            <w:highlight w:val="white"/>
            <w:u w:val="none"/>
          </w:rPr>
          <w:t xml:space="preserve">лат.</w:t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 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:highlight w:val="white"/>
          <w:u w:val="none"/>
        </w:rPr>
        <w:t xml:space="preserve">liberalis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 «свободный») — социально-политическое учение и общественное движение, основной идеей которого является самодостаточная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u w:val="none"/>
        </w:rPr>
        <w:t xml:space="preserve">ценность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 свободы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u w:val="none"/>
        </w:rPr>
        <w:t xml:space="preserve">индивида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 в экономической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политической и других сферах жизни общества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24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white"/>
        </w:rPr>
        <w:t xml:space="preserve">Иммануил Кант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(1724–1804) – профессор Кенигсбергского университета, основатель немецкой классической философии, правовой мыслитель эпохи Просвещения, основоположник теории правового государства, автор проекта установления вечного мира между государствами,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основатель критической философии. Удивительным является то обстоятельство, что подданный одного из самых абсолютистских государств (Пруссии) стал одним из виднейших представителей классического либерализма.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Среди основных работ Канта необходимо назвать следующие: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 «Критика чистого разума» (1781 г.);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 «Критика практического разума» (1788 г.);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 «Критика способности суждения» (1790 г.);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 «К вечному миру» (1795 г.);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 «Метафизика нравов» (1797 г.);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– «О поговорке “Может это и верно в теории, но не годится для практики”» (1793 г.).</w:t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white"/>
        </w:rPr>
        <w:t xml:space="preserve">О категорическом императиве.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 </w:t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Кант большое значение придавал морали, недаром его еще именуют «философом морали». В связи с этим Кант ввел понятие категорического императива – правила должного поведения, которое не связано с достижением конкретной цели. Смысл категорического императива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– «должен, потому что должен», и прагматичная цель здесь совершенно отсутствует. Он содержит лишь общую идею «долга перед лицом человечества», предоставляя индивиду полную свободу решать самостоятельно, какая линия поведения в наибольшей мере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согласуется с моральным законом. Поэтому человек, который следует категорическому императиву, – моральная личность. Категорический императив Кант называл законом нравственной свободы и употреблял эти понятия как синонимы. Категорическому императиву Кантом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был противопоставлен гипотетический императив – это правило, которое человек устанавливает для того, чтобы достигнуть конкретной цели. Моральная личность, считал философ, не может руководствоваться гипотетическими или же условными правилами, которые завися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т от обстоятельств.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О праве.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708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Право как социальный регулятор противостоит более универсальным правилам – моральным – и является разновидностью всеобщих этических норм.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Право у Канта отлично от законодательства и имеет ценностное измерение, в частности измеряется через понятие «свобода». «Право есть ограничение свободы каждого с условием ее согласия со свободой каждого другого, насколько это возможно по всеобщему закону».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 таким условиям относятся: наличие принудительно осуществляемых законов, гарантированный статус собственности и личных прав индивида, равенство членов общества перед законом, а также разрешение споров в судебном порядке.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708" w:left="0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                                             О государстве.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708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Кант характеризовал государство следующим образом: «государство – это объединение множества людей, подчиненных правовым законам». Как мы видим, Кант тяготел к договорной теории происхождения государства и естественно-правовой теории происхождения права.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Вместе с тем первичный договор об образовании государства выступает у мыслителя исключительно умозрительной конструкцией: «…этот договор есть всего лишь идея разума, которая, однако, имеет несомненную (практическую) реальность в том смысле, что он налагает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на каждого законодателя обязанность издавать свои законы так, чтобы они могли исходить из объединенной воли целого народа». «В самом деле, – отмечал Кант, – трудно предположить, чтобы народ дал согласие на закон о наследственных привилегиях со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словия господ. Такой закон, возвышающий одну часть общества над другой, представляется противоправным…»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Выработка данного положения позволила Канту преодолеть противоречие, столь свойственное естественно-правовой теории, представлявшей государство одновременно и как реальный договор, заключенный между государством и каждым индивидом в частности, и как модель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будущей организации политической власти.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  <w:t xml:space="preserve">О правовом государстве.</w:t>
      </w:r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Согласно Канту, целью государства является не благо и не счастье каждого подданного, а состояние наибольшего соответствия государственного устройства с принципами права, «к чему нас обязывает стремиться разум при помощи категорического императива». Это в 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орне отличает воззрения Канта от традиций античной философии, которая рассматривала в качестве цели государства достижение всеобщего блага. Всеобщее благо, с точки зрения Канта, не является правовым принципом, поскольку не может быть реализовано повсеместн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 и понимаемо каждым гражданином по-своему.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Поэтому, И. Кант заключает: «суверен не вправе принуждать своих граждан к действиям, способствующим достижению общего блага, но должен применять насилие, чтобы частные цели не мешали всем остальным». Следовательно, правовое государство должно гарантировать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подданным гражданскую свободу, а не заботиться о благосостоянии отдельных граждан.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Идеальными формами правления Кант называл парламентскую республику и конституционную монархию с разделением властей. Нужно подчеркнуть, что принцип разделения властей Кант трактовал не в контексте идеи «контроля и баланса», так называемой системы сдержек 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противовесов, а функционально. То есть три ветви власти дополняют друг друга «для совершенства» и ни одна из ветвей власти не может принять на себя функции другой.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Все три ветви власти могут быть представлены как суждения в силлогизме: «большая посылка, содержащая в себе 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закон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всеобщим образом объединенной воли; меньшая посылка, содержащая в себе 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веление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поступать, т. е. принцип поведения под эту волю, и вывод, содержащий в себе 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</w:rPr>
        <w:t xml:space="preserve">судебное решение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 (приговор) относительно того, что в данном случае соответствует праву».</w:t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white"/>
        </w:rPr>
        <w:t xml:space="preserve">Проект вечного мира.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ab/>
        <w:t xml:space="preserve">Стремление человечества запретить войны восходит к глубокой древности. Идея вечного мира занимала умы мыслителей не только античности и средневековья, но и пользовалась огромной популярностью среди ученых и государственных деятелей в период буржуазных рево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люций.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Проблеме установления мира Кант также посвятил отдельную работу – «К вечному миру» (1795), которая пользовалась большим успехом у современников. Достаточно напомнить, что при жизни автора данное сочинение издавалось 12 раз.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color w:val="000000" w:themeColor="text1"/>
          <w:sz w:val="28"/>
          <w:szCs w:val="28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708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И. Кант выделил шесть предварительных (прелиминарных) условий и четыре основных (дефинитивных) условия, необходимых для установления вечного мира. Среди прелиминарных были названы следующие условия: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1) при заключении мирного договора не должны сохраняться тайные основания для разжигания войны, а именно, нельзя включать в текст договора те положения, которые могут возобновить военные действия между сторонами;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2) нельзя дарить, наследовать, передавать в качестве приданого и т.д. территорию или часть территории государства;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3) постоянные армии должны быть распущены;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4) запрещаются государственные займы, взятые для финансирования военных действий;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5) недопустимо вмешательство одного государства во внутреннюю политику другого государства;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6) военные действия не должны вестись такими средствами, которые бы подрывали доверие сторон в будущем, Например, засылка тайных убийц, отравителей, нарушение условий капитуляции, подстрекательство к измене в государстве неприятеля.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Среди основных условий заключения мирного договора Кант называет четыре условия: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1) при республиканском устройстве сложнее начать войну, поэтому участниками договора должны стать республики;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2) в результате заключения договора государства объединяются в союз (федерацию свободных государств), в котором каждое государство сохраняет свой суверенитет;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3) между государствами устанавливается сотрудничество и взаимное гостеприимство;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4) (тайное условие) правители должны совещаться с философами в принятии государственных решений.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Стоит отметить, что перечисленные условия, сформулированные мыслителем, не теряют своей значимости и по сей день.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708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Таким образом, политический либерализм И.Канта направлен на установление справедливого порядка, где свобода и равенство всех граждан гарантируются законами , а идеалом является мирное и правовое международное общество.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708"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Литература: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Беляева О.М. Политико-правовые воззрения И. Канта // Вестник Пермского унта. 2014. № 1. С. 23-27. </w:t>
      </w:r>
      <w:hyperlink r:id="rId10" w:tooltip="https://cyberleninka.ru/article/n/politiko-pravovye-vozzreniya-ikanta/viewer." w:history="1">
        <w:r>
          <w:rPr>
            <w:rStyle w:val="186"/>
            <w:rFonts w:ascii="Times New Roman" w:hAnsi="Times New Roman" w:eastAsia="Times New Roman" w:cs="Times New Roman"/>
            <w:sz w:val="28"/>
            <w:szCs w:val="28"/>
          </w:rPr>
          <w:t xml:space="preserve">https://cyberleninka.ru/article/n/politiko-pravovye-vozzreniya-ikanta/viewer.</w:t>
        </w:r>
        <w:r>
          <w:rPr>
            <w:rStyle w:val="186"/>
            <w:rFonts w:ascii="Times New Roman" w:hAnsi="Times New Roman" w:eastAsia="Times New Roman" w:cs="Times New Roman"/>
            <w:color w:val="000000" w:themeColor="text1"/>
            <w:sz w:val="28"/>
            <w:szCs w:val="28"/>
            <w:highlight w:val="none"/>
          </w:rPr>
        </w:r>
        <w:r>
          <w:rPr>
            <w:rStyle w:val="186"/>
            <w:rFonts w:ascii="Times New Roman" w:hAnsi="Times New Roman" w:eastAsia="Times New Roman" w:cs="Times New Roman"/>
            <w:color w:val="000000" w:themeColor="text1"/>
            <w:sz w:val="28"/>
            <w:szCs w:val="28"/>
            <w:highlight w:val="none"/>
          </w:rPr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Саликов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А.Н.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Кант и современная теория Международных Отношений// Вестник Балтийского Федерального университета им. И.Канта 2013. № 12. С. 97-103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hyperlink r:id="rId11" w:tooltip="https://cyberleninka.ru/article/n/kant-i-sovremennaya-teoriya-mezhdunarodnyh-otnosheniy/viewer" w:history="1">
        <w:r>
          <w:rPr>
            <w:rStyle w:val="186"/>
            <w:rFonts w:ascii="Times New Roman" w:hAnsi="Times New Roman" w:eastAsia="Times New Roman" w:cs="Times New Roman"/>
            <w:color w:val="000000" w:themeColor="text1"/>
            <w:sz w:val="28"/>
            <w:szCs w:val="28"/>
            <w:highlight w:val="none"/>
          </w:rPr>
          <w:t xml:space="preserve">https://cyberleninka.ru/article/n/kant-i-sovremennaya-teoriya-mezhdunarodnyh-otnosheniy/viewer.</w:t>
        </w:r>
        <w:r>
          <w:rPr>
            <w:rStyle w:val="186"/>
            <w:rFonts w:ascii="Times New Roman" w:hAnsi="Times New Roman" w:eastAsia="Times New Roman" w:cs="Times New Roman"/>
            <w:color w:val="000000" w:themeColor="text1"/>
            <w:sz w:val="28"/>
            <w:szCs w:val="28"/>
            <w:highlight w:val="none"/>
          </w:rPr>
        </w:r>
        <w:r>
          <w:rPr>
            <w:rStyle w:val="186"/>
            <w:rFonts w:ascii="Times New Roman" w:hAnsi="Times New Roman" w:eastAsia="Times New Roman" w:cs="Times New Roman"/>
            <w:color w:val="000000" w:themeColor="text1"/>
            <w:sz w:val="28"/>
            <w:szCs w:val="28"/>
            <w:highlight w:val="none"/>
          </w:rPr>
        </w:r>
        <w:r>
          <w:rPr>
            <w:rStyle w:val="186"/>
            <w:rFonts w:ascii="Times New Roman" w:hAnsi="Times New Roman" w:eastAsia="Times New Roman" w:cs="Times New Roman"/>
            <w:color w:val="000000" w:themeColor="text1"/>
            <w:sz w:val="28"/>
            <w:szCs w:val="28"/>
            <w:highlight w:val="none"/>
          </w:rPr>
        </w:r>
        <w:r>
          <w:rPr>
            <w:rStyle w:val="186"/>
          </w:rPr>
        </w:r>
        <w:r>
          <w:rPr>
            <w:rStyle w:val="186"/>
            <w:rFonts w:ascii="Times New Roman" w:hAnsi="Times New Roman" w:eastAsia="Times New Roman" w:cs="Times New Roman"/>
            <w:color w:val="000000" w:themeColor="text1"/>
            <w:sz w:val="28"/>
            <w:szCs w:val="28"/>
            <w:highlight w:val="none"/>
          </w:rPr>
        </w:r>
        <w:r>
          <w:rPr>
            <w:rStyle w:val="186"/>
          </w:rPr>
        </w:r>
        <w:r>
          <w:rPr>
            <w:rStyle w:val="186"/>
            <w:rFonts w:ascii="Times New Roman" w:hAnsi="Times New Roman" w:eastAsia="Times New Roman" w:cs="Times New Roman"/>
            <w:color w:val="000000" w:themeColor="text1"/>
            <w:sz w:val="28"/>
            <w:szCs w:val="28"/>
            <w:highlight w:val="none"/>
          </w:rPr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141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uto"/>
        <w:ind w:right="0" w:firstLine="0"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znanierussia.ru/articles/%D0%9B%D0%B0%D1%82%D0%B8%D0%BD%D1%81%D0%BA%D0%B8%D0%B9_%D1%8F%D0%B7%D1%8B%D0%BA" TargetMode="External"/><Relationship Id="rId10" Type="http://schemas.openxmlformats.org/officeDocument/2006/relationships/hyperlink" Target="https://cyberleninka.ru/article/n/politiko-pravovye-vozzreniya-ikanta/viewer." TargetMode="External"/><Relationship Id="rId11" Type="http://schemas.openxmlformats.org/officeDocument/2006/relationships/hyperlink" Target="https://cyberleninka.ru/article/n/kant-i-sovremennaya-teoriya-mezhdunarodnyh-otnosheniy/view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2024-10-14T20:07:51Z</dcterms:modified>
</cp:coreProperties>
</file>