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  <w:highlight w:val="none"/>
        </w:rPr>
        <w:t xml:space="preserve">    АСЕАН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Ассоциация государств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 w:line="276" w:lineRule="auto"/>
        <w:ind w:firstLine="0"/>
        <w:jc w:val="center"/>
        <w:rPr>
          <w:rFonts w:ascii="Times New Roman" w:hAnsi="Times New Roman" w:cs="Times New Roman"/>
          <w:b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Юго-Восточной Азии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История создания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 xml:space="preserve">В середине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1966года, когда АСЕАН еще только проектировалась, министр иностранных дел Малайзии Исмаил Абдул Рахман сделал следующее заявление: «Наша цель - региональная ассоциация, охватывающая Таиланд, Бирму, Индонезию, Сингапур, Малайзию, Филиппины, Камб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оджу, Лаос и Вьетнам. У нас нет иного выбора. Мы, страны и народы Юго-Восточной Азии, вне зависимости от этнических, культурных и религиозных корней, должны объединиться и сотворить, своими руками и своим умом, новый путь в будущее и новую структуру. И сде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лать это мы должны самостоятельно. Мы должны прийти к глубокому и общему осознанию того, что не сможем долго выживать как независимые народы… если не будем в то же самое время мыслить и действовать как жители Юго-Восточной Азии» . Та структура, которую го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 спустя сформировали Индонезия, Малайзия, Сингапур, Таиланд и Филиппины, носила, строго говоря, не региональный, а субрегиональный характер. Создать в ЮВА нечто более крупное, живя по законам биполярного мира, было нереально. Пока они действовали, к пяти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членам - основателям АСЕАН добавился лишь Бруней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(1984 г.). Тем не менее в рамках АСЕАН отчужденность между соседями по ЮВА начала преодолеваться. Когда же холодная война завершилась, к Ассоциации потянулись страны, еще недавно стоявшие «по ту сторону баррикад», и их отнюдь не оттолкнули. В 1995 году сед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ьмым полноправным участником АСЕАН стал Вьетнам, в 1997 году его примеру последовали Лаос и Мьянма, а в 1999 году в Ассоциацию приняли и Камбоджу. Так появилась АСЕАН-10 - она же «Большая АСЕАН», словно воплощавшая своим составом мечту «отцов-основателей»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 полном региональном единстве.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Ассоциация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государств Юго-Восточной Азии (АСЕАН) образована 8 августа 1967 г. в Бангкоке. Первоначально в нее вошли Индонезия, Малайзия, Сингапур, Таиланд, Филиппины. Позднее присоединились Бруней-Даруссалам (1984 г.), Вьетнам (1995 г.), Лаос и Мьянма (199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7 г.), Камбоджа (1999 г.). Статус наблюдателя имеют Папуа-Новая Гвинея и Восточный Тимор.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Цели и задачи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 w:firstLine="708"/>
        <w:jc w:val="left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single"/>
        </w:rPr>
        <w:t xml:space="preserve">Как определено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 в Бангкокской декларации (1967 г.), Ассоциация призвана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сформировать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рамочный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механизм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регионального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сотрудничества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по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реализации трех основных целей: стимулирование экономического развития,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социального прогресса и культурного развития региона на основе совместных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действий; укрепление мира и безопасности в Юго-Восточной Азии; развитие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сотрудничества и взаимопомощи по вопросам, представляющим общий интерес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экономической,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социальной,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культурной,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технической,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научной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административной областях.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single"/>
        </w:rPr>
        <w:t xml:space="preserve">В качестве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 основных задач определены: создание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таможенного союза в рамках соглашений о преференциальной торговле, а также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совместных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промышленных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объектов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товарных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ассоциаций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стран-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t xml:space="preserve">производителей тех или иных видов товаров.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" w:line="276" w:lineRule="auto"/>
        <w:ind w:right="0" w:firstLine="0" w:left="0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Структура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 xml:space="preserve">Что касается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структуры АСЕАН,в соответствии с Уставом АСЕАН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(он вступил в силу в 2008г.,что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провозглашает страны АСЕАН единым образованием с юридической точки зрения и устанавливает для них общие нормы и правила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Ассоциации),АСЕАН состоит из следующих органов: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Высшим органом АСЕАН является саммит лидеров,(т.е. саммит глав государств и правительств стран-членов АСЕАН и партнеров по диалогу).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качестве руководящего и координирующего органа выступают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ежегодные совещания министров иностранных дел (СМИД).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Постоянный комитет осуществляется министром иностранных дел председательствующей страны.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 xml:space="preserve">Постоянный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Секретариат во главе с Генеральным секретарем.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Именно в Джакарте действует Секретариат АСЕАН во главе с Генеральным секретарем. В настоящее время этот пост занимает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Као Ким Хоурн.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Председатель АСЕАН сменяется ежегодно на ротационной основе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2022 году функции председателя в Ассоциации исполняла Камбоджа, в 2023 году - Индонезия, в 2024 году – Лаос , в 2025 году будет Малайзия.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11 специализированных комитетов.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Свыше 300 ежегодных мероприятий.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" w:line="276" w:lineRule="auto"/>
        <w:ind w:right="0" w:firstLine="0" w:left="0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Особенности функционирования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«Путь АСЕАН» выходит за рамки вест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фальских концепций суверенитета и государ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ственно-центричных практик, но не подрыва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ет вестфальские основы современного госу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дарства, что и делает его формой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регионального интернационализма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АСЕАН стремит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ся быть «региональным посредником», спо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собным поддерживать стратегическую ста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бильность и выживание в регионе за счет пе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рераспределения, восстановления и пере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смотра ролей посредством переговоров с ве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ликими державами в Тихоокеанском регионе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. В этой роли «Путь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АСЕАН» можно представить в виде схемы.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7115" cy="11213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21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07114" cy="112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8.28pt;height:88.2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u w:val="single"/>
        </w:rPr>
        <w:t xml:space="preserve">На первом этапе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участники ищут подхо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дящий институциональный механизм, обес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печивающий соответствующий уровень ком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форта для достижения согласия.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Второй этап включает процессы регули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рования, такие как поиск компромисса, кон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сультации и эффективный торг, чтобы обес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печить гибкость для решения соответствую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щих вопросов и продвижения обсуждений.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Третий этап предполагает компромисс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и корректировку, которых требует общая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позиция.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Четвертый этап — практический ответ на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консенсус, при котором государства — члены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АСЕАН корректируют свою политику в мак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симально возможной степени, чтобы приспо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собиться к общей позиции.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Наконец, пятый этап предполагает за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крепление консенсуса с членами АСЕАН,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действующими в согласии с позицией орга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низации.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76" w:lineRule="auto"/>
        <w:ind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Современное состояние и перспективы развития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55" w:before="0" w:line="276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Существует несколько расширенных форматов сотрудничества АСЕАН с другими региональными партнерами. В 1994 году по инициативе Австралии открылся первый региональный форум АСЕАН, ныне в нем участвуют 27 государств, включая Китай, Россию и США. Он направлен 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а сотрудничество со странами Азиатско-Тихоокеанского региона.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55" w:before="0" w:line="276" w:lineRule="auto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1997 году появился АСЕАН+3 (Китай, Япония, Республика Корея), а в 2005 году — формат АСЕАН+6 — те же страны плюс Австралия, Индия и Новая Зеландия.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hd w:val="clear" w:color="ffffff" w:fill="ffffff"/>
        <w:spacing w:after="300" w:before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Зона свободной торговли АСЕАН (АФТА) «AREA OF FREE TRADE IN ASEAN»представляет собой наиболее консолидированную экономическую группировку стран Азии. О ее создании было объявлено на 4-й встрече глав государств и правительств АСЕАН в Сингапуре (1992 г.). Первоначально в нее вошли шесть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стран ЮВА (Индонезия, Малайзия, Сингапур, Таиланд, Филиппины и Бруней). В 1996 г. к АФТА подключился Вьетнам, в 1998 г. - Лаос и Мьянма, в 1999 г. - Камбоджа.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Создавая зону свободной торговли, члены Ассоциации ставили цель активизировать внутриасеановскую торговлю товарами и услугами, расширить и диверсифицировать субрегиональный товарооборот и в условиях роста взаимной торговли повысить конкурентоспособность эк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ономик своих стран. АФТА призвана также способствовать политической консолидации стран региона, подключению к экономическому сотрудничеству менее развитых стран ЮВА.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hd w:val="clear" w:color="ffffff" w:fill="ffffff"/>
        <w:spacing w:after="300" w:before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счет сотрудничества в сфере экономики,стоить отметить ВРЭП,который означает большой прогресс в истории развитии АСЕАН.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ВРЭП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всестороннее региональное экономическое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партнёрство,соглашение о создание которого подписали страны — члены Ассоциации государств Юго-Восточной Азии (АСЕАН) со своими торговыми партнерами,в том числе Австралия, Китай, Новая Зеландия, Республика Корея и Япония.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 него приходится 30% мировой экономики и 2,2 миллиарда потребителей.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hd w:val="clear" w:color="ffffff" w:fill="ffffff"/>
        <w:spacing w:after="300" w:before="0" w:line="276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AEC( ASEAN Economic Community)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2018 г.выдвинул Blueprint 2025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которому,к 2025г, АСЕАН стремится к экономической интеграции в более глубинной степени, что имеет 5 признаков:1) высокоинтегрированная и сплоченная экономика; 2) конкурентоспособная, инновационная и динамичная АСЕАН; 3) расширенная взаимосвязь и отраслев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ое сотрудничество; 4) устойчивая, инклюзивная и ориентированная на людей, АСЕАН; 5) глобальная АСЕАН.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настоящее время, АСЕАН развиваетcя на многих направлениях: безопасность, экономика, внешняя политика, социокультурное развитие и др.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Затрагивая особенности сотрудничества России и АСЕАН, стоит обозначить сферу  отношений между партнёрами это обеспечение региональной безопасности, ссылаясь на имеющийся у России мощный военный потенциал, постоянное членство России в СБ ООН и опыт 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шения международных проблем. В то же время, в отличие, например, от Японии, ставшей экономическим партнёром и примером успешной модернизации для ЮВА ещё в середине прошлого века, и от Индии, с которой у ЮВА есть практика тысячелетнего цивилизационного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диалога, Россия по разным причинам только начинает формировать отношения с ЮВА, обладая наиболее тесными связями с Вьетнамом. Среди плюсов сотрудничества между РФ и АСАЕН отмечены развивающееся взаимодействие сторон в формате диалогового партнёрства,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растущий товарооборот.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708" w:left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highlight w:val="none"/>
        </w:rPr>
        <w:t xml:space="preserve">Модель региональной интеграции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 xml:space="preserve">В заключении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стоит отметить, что причи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ми формирования АСЕАН заключались в стабилизации не только в военной, но и в политической сфере в Юго-Восточной Азии. К середине 70-х гг. стабильная политическая ситуация в данном регионе стимулировала интеграцию в сфере экономики, не как в ЕС, где экономи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ческая интеграция стимулировала политическую интеграцию, в АСЕАН, наоборот, политическое сотрудничество посодействовало экономической интеграции. АСЕАН является центром экономической интеграции в Восточной Азии.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Доп. вопрос от препода.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Почему АСЕАН - модель межгосударственной интеграции?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АСЕАН представляет собой уникальную 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межгосударственной интеграции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shd w:val="clear" w:color="ffffff" w:themeColor="background1" w:fill="ffffff" w:themeFill="background1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ffffff" w:themeColor="background1" w:fill="ffffff" w:themeFill="background1"/>
        </w:rPr>
        <w:t xml:space="preserve">основой которой является стремление стран региона обеспечить экономическую и политическую безопасность региона на равных условиях и без создания политических надстроек</w:t>
      </w:r>
      <w:r>
        <w:rPr>
          <w:rFonts w:ascii="Arial" w:hAnsi="Arial" w:eastAsia="Arial" w:cs="Arial"/>
          <w:color w:val="auto"/>
          <w:sz w:val="24"/>
          <w:highlight w:val="white"/>
          <w:shd w:val="clear" w:color="ffffff" w:themeColor="background1" w:fill="ffffff" w:themeFill="background1"/>
        </w:rPr>
        <w:t xml:space="preserve">.</w:t>
      </w:r>
      <w:r>
        <w:rPr>
          <w:rFonts w:ascii="Arial" w:hAnsi="Arial" w:eastAsia="Arial" w:cs="Arial"/>
          <w:color w:val="ffffff"/>
          <w:sz w:val="24"/>
          <w:highlight w:val="white"/>
          <w:shd w:val="clear" w:color="ffffff" w:themeColor="background1" w:fill="ffffff" w:themeFill="background1"/>
        </w:rPr>
        <w:t xml:space="preserve">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Литература: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9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Хонрада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Г.Дж.П.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, Бокерия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С.А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 Концепции «Шанхайского духа» и «Пути АСЕАН»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как основа нового регионализма//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Вестник РУДН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 2023. № 2.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С. 253 - 264//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Москва, Россия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9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Золотухин И.Н.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АСЕАН как уникальная модель регионализма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//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Известия Восточного института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2020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 № 1. С. 121 - 127// Владивосток, Россия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9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Шатерников П.С. Межформатное сотрудничество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как возможная стратегия дипломатии АСЕАН // Юго-Восточная Азия: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актуальные проблемы развития. 2024. Том 2. № 2 (63). С. 34–44.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1429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[Электронный доступ] DOI: 10.31696/2072-8271-2024-2-2-63-034-044 ( дата обращения: 20.10.2024)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23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94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6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8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0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2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4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6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8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0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189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190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191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192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193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194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195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196">
    <w:name w:val="toc 9"/>
    <w:basedOn w:val="888"/>
    <w:next w:val="888"/>
    <w:uiPriority w:val="39"/>
    <w:unhideWhenUsed/>
    <w:pPr>
      <w:pBdr/>
      <w:spacing w:after="100"/>
      <w:ind w:left="1760"/>
    </w:pPr>
  </w:style>
  <w:style w:type="table" w:styleId="71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88"/>
    <w:next w:val="88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88"/>
    <w:next w:val="88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88"/>
    <w:next w:val="88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88"/>
    <w:next w:val="88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88"/>
    <w:next w:val="88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88"/>
    <w:next w:val="88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88"/>
    <w:next w:val="88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88"/>
    <w:next w:val="88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88"/>
    <w:next w:val="88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88"/>
    <w:next w:val="88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88"/>
    <w:next w:val="88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88"/>
    <w:next w:val="88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88"/>
    <w:next w:val="88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88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88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88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88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2024-11-02T23:59:33Z</dcterms:modified>
</cp:coreProperties>
</file>