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567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Английская школа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– это термин, придуманный в 1970-х годах для описания группы преимущественно британских ученых, для которых международное общество является основным объектом анализа. В английской школе было много выдающихся теоретиков международных отноше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ний. Можно назвать Чарльза Мэннинга, Хедли Булла, Барри Бузана и многих других.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567" w:left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Разви­тие геополитики было связано с именем английского ученого X. Маккиндера, которого иногда называют отцом-основателем геополити­ки, хотя сам он этого понятия не употреблял. Маккиндер — один из признанных и ве­дущих представителей англосаксонской школы.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Он является ав­тором многих терминов понятийного аппарата геополитики: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line="276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color w:val="000000"/>
          <w:sz w:val="22"/>
        </w:rPr>
        <w:t xml:space="preserve">•       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Heartland — 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«Хартленд»;</w:t>
      </w:r>
      <w:r>
        <w:rPr>
          <w:rFonts w:ascii="Arial" w:hAnsi="Arial" w:eastAsia="Arial" w:cs="Arial"/>
          <w:sz w:val="22"/>
        </w:rPr>
      </w:r>
      <w:r>
        <w:rPr>
          <w:rFonts w:ascii="Arial" w:hAnsi="Arial" w:eastAsia="Arial" w:cs="Arial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line="276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color w:val="000000"/>
          <w:sz w:val="22"/>
        </w:rPr>
        <w:t xml:space="preserve">•       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Pivot Area — 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«осевой регион»;</w:t>
      </w:r>
      <w:r>
        <w:rPr>
          <w:rFonts w:ascii="Arial" w:hAnsi="Arial" w:eastAsia="Arial" w:cs="Arial"/>
          <w:sz w:val="22"/>
        </w:rPr>
      </w:r>
      <w:r>
        <w:rPr>
          <w:rFonts w:ascii="Arial" w:hAnsi="Arial" w:eastAsia="Arial" w:cs="Arial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line="276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color w:val="000000"/>
          <w:sz w:val="22"/>
        </w:rPr>
        <w:t xml:space="preserve">•       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Outer</w:t>
      </w:r>
      <w:r>
        <w:rPr>
          <w:rFonts w:ascii="Times New Roman" w:hAnsi="Times New Roman" w:eastAsia="Times New Roman" w:cs="Times New Roman"/>
          <w:b/>
          <w:i/>
          <w:color w:val="333333"/>
          <w:sz w:val="28"/>
        </w:rPr>
        <w:t xml:space="preserve"> 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Crescent — 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страны «внешнего полумесяца»;</w:t>
      </w:r>
      <w:r>
        <w:rPr>
          <w:rFonts w:ascii="Arial" w:hAnsi="Arial" w:eastAsia="Arial" w:cs="Arial"/>
          <w:sz w:val="22"/>
        </w:rPr>
      </w:r>
      <w:r>
        <w:rPr>
          <w:rFonts w:ascii="Arial" w:hAnsi="Arial" w:eastAsia="Arial" w:cs="Arial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line="276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color w:val="000000"/>
          <w:sz w:val="22"/>
        </w:rPr>
        <w:t xml:space="preserve">•       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Midland</w:t>
      </w:r>
      <w:r>
        <w:rPr>
          <w:rFonts w:ascii="Times New Roman" w:hAnsi="Times New Roman" w:eastAsia="Times New Roman" w:cs="Times New Roman"/>
          <w:b/>
          <w:i/>
          <w:color w:val="333333"/>
          <w:sz w:val="28"/>
        </w:rPr>
        <w:t xml:space="preserve"> 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OceanArea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— зоны «внутреннего океана».</w:t>
      </w:r>
      <w:r>
        <w:rPr>
          <w:rFonts w:ascii="Arial" w:hAnsi="Arial" w:eastAsia="Arial" w:cs="Arial"/>
          <w:sz w:val="22"/>
        </w:rPr>
      </w:r>
      <w:r>
        <w:rPr>
          <w:rFonts w:ascii="Arial" w:hAnsi="Arial" w:eastAsia="Arial" w:cs="Arial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line="276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Согласно Маккиндеру, </w:t>
      </w:r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определяющим фактором истории народов является географическое положение стран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, причем по мере экономического, социального и культурного развития вли­яние географического фактора на прогресс человечества посто­янно возрастает. Этот фактор выражается в соотношении суши и моря и взаимоотношениях сухопутных и морских народов, осво­ении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ими земных и водных пространств. Баланс сил, по Маккиндеру, является, </w:t>
      </w:r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с одной стороны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, ре­зультатом географических, а также экономических и стратеги­ческих условий, а </w:t>
      </w:r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с другой стороны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— относительной числен­ности, мужества, оснащенности и организации конкурирующих народов. Геополитике посвящены прежде всего три классических труда Маккиндера: «Географическая ось истории» (1904), «Демократические идеалы и реальность: исследования политик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 реконструкции» (1919) и «Круглая Земля и обретение мира» (1943)</w:t>
      </w:r>
      <w:r>
        <w:rPr>
          <w:rFonts w:ascii="Arial" w:hAnsi="Arial" w:eastAsia="Arial" w:cs="Arial"/>
          <w:sz w:val="22"/>
        </w:rPr>
      </w:r>
      <w:r>
        <w:rPr>
          <w:rFonts w:ascii="Arial" w:hAnsi="Arial" w:eastAsia="Arial" w:cs="Arial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567" w:left="0"/>
        <w:jc w:val="both"/>
        <w:rPr>
          <w:rFonts w:ascii="Arial" w:hAnsi="Arial" w:eastAsia="Arial" w:cs="Arial"/>
          <w:sz w:val="22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Филипп Говард Коломб  вошел в историю мировой геополитичес­кой мысли как один из основоположников концепции морско­го могущества, положенной в основу идей атлантизма. Морская цивилизация есть «торговая цивилизация». Именно </w:t>
      </w:r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срыв морской торговли противника и оборона собственных торговых путей и составля­ют сущность морской войны,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которая является предметом ис­следований Коломба. «Морская война и ее основные принципы и опыт». </w:t>
      </w:r>
      <w:r>
        <w:rPr>
          <w:rFonts w:ascii="Arial" w:hAnsi="Arial" w:eastAsia="Arial" w:cs="Arial"/>
          <w:sz w:val="22"/>
        </w:rPr>
      </w:r>
      <w:r>
        <w:rPr>
          <w:rFonts w:ascii="Arial" w:hAnsi="Arial" w:eastAsia="Arial" w:cs="Arial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709"/>
        <w:rPr>
          <w:rFonts w:ascii="Arial" w:hAnsi="Arial" w:eastAsia="Arial" w:cs="Arial"/>
          <w:sz w:val="22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Коломб выделяет 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три уровня контроля над морским про­странством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:</w:t>
      </w:r>
      <w:r>
        <w:rPr>
          <w:rFonts w:ascii="Arial" w:hAnsi="Arial" w:eastAsia="Arial" w:cs="Arial"/>
          <w:sz w:val="22"/>
        </w:rPr>
      </w:r>
      <w:r>
        <w:rPr>
          <w:rFonts w:ascii="Arial" w:hAnsi="Arial" w:eastAsia="Arial" w:cs="Arial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line="276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color w:val="000000"/>
          <w:sz w:val="22"/>
        </w:rPr>
        <w:t xml:space="preserve">•       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условия индифферентности моря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(indifference) — 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практическое отсутствие какого-либо контроля над морским рай­оном;</w:t>
      </w:r>
      <w:r>
        <w:rPr>
          <w:rFonts w:ascii="Arial" w:hAnsi="Arial" w:eastAsia="Arial" w:cs="Arial"/>
          <w:sz w:val="22"/>
        </w:rPr>
      </w:r>
      <w:r>
        <w:rPr>
          <w:rFonts w:ascii="Arial" w:hAnsi="Arial" w:eastAsia="Arial" w:cs="Arial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line="276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color w:val="000000"/>
          <w:sz w:val="22"/>
        </w:rPr>
        <w:t xml:space="preserve">•       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условия оспариваемого обладания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(disputedcommand), 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когда морская держава не имеет гарантированного преимущества перед соперниками;</w:t>
      </w:r>
      <w:r>
        <w:rPr>
          <w:rFonts w:ascii="Arial" w:hAnsi="Arial" w:eastAsia="Arial" w:cs="Arial"/>
          <w:sz w:val="22"/>
        </w:rPr>
      </w:r>
      <w:r>
        <w:rPr>
          <w:rFonts w:ascii="Arial" w:hAnsi="Arial" w:eastAsia="Arial" w:cs="Arial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line="276" w:lineRule="auto"/>
        <w:ind w:right="0" w:firstLine="0" w:left="0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color w:val="333333"/>
          <w:sz w:val="22"/>
        </w:rPr>
        <w:t xml:space="preserve">•       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условия обеспеченного обладания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(assuredcommand).</w:t>
      </w:r>
      <w:r>
        <w:rPr>
          <w:rFonts w:ascii="Arial" w:hAnsi="Arial" w:eastAsia="Arial" w:cs="Arial"/>
          <w:sz w:val="22"/>
        </w:rPr>
      </w:r>
      <w:r>
        <w:rPr>
          <w:rFonts w:ascii="Arial" w:hAnsi="Arial" w:eastAsia="Arial" w:cs="Arial"/>
          <w:sz w:val="22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Arial" w:hAnsi="Arial" w:eastAsia="Arial" w:cs="Arial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76" w:lineRule="auto"/>
        <w:ind w:right="0" w:firstLine="567" w:lef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Этапы развития.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Первый этап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(1960–1970-е) – был связан с работой Британского комитета по изучению международной политики. В состав комитета входили историки Г. Баттерфилд, М. Уайт, Д. Уильямс и М. Говард, философы Х. Булл и Д. Маккиннон, дипломат А. Уотсон. 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Первый председатель Британского комитета Г. Баттерфилд (1958–1967) предложил своё понимание международной системы, которое раскрыл в монографии «Человек о своём прошлом: исследование истории исторической науки».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Отрицая роль </w:t>
      </w:r>
      <w:hyperlink r:id="rId8" w:tooltip="https://bigenc.ru/c/prussiia-ae4d7f" w:history="1">
        <w:r>
          <w:rPr>
            <w:rStyle w:val="186"/>
            <w:rFonts w:ascii="Times New Roman" w:hAnsi="Times New Roman" w:eastAsia="Times New Roman" w:cs="Times New Roman"/>
            <w:color w:val="1d2126"/>
            <w:spacing w:val="8"/>
            <w:sz w:val="28"/>
            <w:u w:val="none"/>
          </w:rPr>
          <w:t xml:space="preserve">Пруссии</w:t>
        </w:r>
      </w:hyperlink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 как связующего звена в создании общеевропейской международной системы, на чём настаивали немецкие историки, 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  <w:u w:val="single"/>
        </w:rPr>
        <w:t xml:space="preserve">Баттерфилд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 ключевую историческую роль в этом процессе отводил принципу </w:t>
      </w:r>
      <w:hyperlink r:id="rId9" w:tooltip="https://bigenc.ru/c/balans-sil-697cc0" w:history="1">
        <w:r>
          <w:rPr>
            <w:rStyle w:val="186"/>
            <w:rFonts w:ascii="Times New Roman" w:hAnsi="Times New Roman" w:eastAsia="Times New Roman" w:cs="Times New Roman"/>
            <w:color w:val="1d2126"/>
            <w:spacing w:val="8"/>
            <w:sz w:val="28"/>
            <w:u w:val="none"/>
          </w:rPr>
          <w:t xml:space="preserve">баланса сил</w:t>
        </w:r>
      </w:hyperlink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. Баланс сил выступил основой формирования европейской системы и со временем стал служить общим целям поддержания международного порядка. Некоторым участникам семинара этот подход показался не совсем удачным, и как синоним понятия «система государств» в се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минаре стали использовать идею международного общества Ч. Мэннинга.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76" w:lineRule="auto"/>
        <w:ind w:right="0" w:firstLine="567" w:left="0"/>
        <w:jc w:val="both"/>
        <w:rPr/>
      </w:pP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В результате 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  <w:u w:val="single"/>
        </w:rPr>
        <w:t xml:space="preserve">Х. Булл 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в своей монографии «Анархическое общество» стал разделять понятия «система государств» и «международное общество» как разные перспективы изучения международных отноше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ний.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76" w:lineRule="auto"/>
        <w:ind w:right="0" w:firstLine="567" w:left="0"/>
        <w:jc w:val="both"/>
        <w:rPr>
          <w:rFonts w:ascii="Times New Roman" w:hAnsi="Times New Roman" w:eastAsia="Times New Roman" w:cs="Times New Roman"/>
          <w:color w:val="1d2126"/>
          <w:spacing w:val="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d2126"/>
          <w:spacing w:val="8"/>
          <w:sz w:val="28"/>
          <w:u w:val="single"/>
        </w:rPr>
        <w:t xml:space="preserve">Второй этап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 развития Английской школы пришёлся на 1980–1990-е гг. Идейную связку между представителями первого и второго поколений обеспечили работы А. Уотсона. А. Уотсон способствовал утверждению и развитию </w:t>
      </w:r>
      <w:hyperlink r:id="rId10" w:tooltip="https://bigenc.ru/c/istoricheskaia-sotsiologiia-efdf77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8"/>
            <w:sz w:val="28"/>
            <w:u w:val="none"/>
          </w:rPr>
          <w:t xml:space="preserve">исторической социологии</w:t>
        </w:r>
      </w:hyperlink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 международных отношений в качестве одного из автономных разделов концепции Английской школы.</w:t>
      </w:r>
      <w:r>
        <w:rPr>
          <w:sz w:val="22"/>
        </w:rPr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Значительный вклад в развитие концепции международного общества на этом этапе сыграли и работы Г. Гонга. Проблематика «стандартов цивилизации», поднятая учёным в работе «Стандарты "цивилизации" в международном сообществе»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. Подход Г. Гонга способствовал расширению теоретико-методологических рамок анализа международных отношений, отходу от концентрации внимания на истории взаимодействия только европейских стран.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76" w:lineRule="auto"/>
        <w:ind w:right="0" w:firstLine="567" w:left="0"/>
        <w:jc w:val="both"/>
        <w:rPr>
          <w:rFonts w:ascii="Times New Roman" w:hAnsi="Times New Roman" w:eastAsia="Times New Roman" w:cs="Times New Roman"/>
          <w:color w:val="1d2126"/>
          <w:spacing w:val="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d2126"/>
          <w:spacing w:val="8"/>
          <w:sz w:val="28"/>
          <w:u w:val="single"/>
        </w:rPr>
        <w:t xml:space="preserve">Идейным лидером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 на втором этапе существования школы, безусловно, считается </w:t>
      </w:r>
      <w:hyperlink r:id="rId11" w:tooltip="https://bigenc.ru/c/reimond-dzhon-vinsent-960164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8"/>
            <w:sz w:val="28"/>
            <w:u w:val="none"/>
          </w:rPr>
          <w:t xml:space="preserve">Р.Дж.Винсент</w:t>
        </w:r>
      </w:hyperlink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. Он сплотил новую группу единомышленников и опубликовать ещё одну коллективную монографию «Внешняя политика и права человека», которая стала основой дальнейших общих исследований. </w:t>
      </w:r>
      <w:r/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Его исследования отразили гуманитарный поворот в понимании международного общества как основы собственно межгосударственных отношений к исследованию широкой международной нормативной повестки. К сожалению, ранняя смерть учёного оборвала эту линию развития 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Английской школы.</w:t>
      </w:r>
      <w:r/>
      <w:r>
        <w:rPr>
          <w:rFonts w:ascii="Times New Roman" w:hAnsi="Times New Roman" w:eastAsia="Times New Roman" w:cs="Times New Roman"/>
          <w:color w:val="1d2126"/>
          <w:spacing w:val="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76" w:lineRule="auto"/>
        <w:ind w:right="0" w:firstLine="567" w:left="0"/>
        <w:jc w:val="both"/>
        <w:rPr/>
      </w:pPr>
      <w:r>
        <w:rPr>
          <w:rFonts w:ascii="Times New Roman" w:hAnsi="Times New Roman" w:eastAsia="Times New Roman" w:cs="Times New Roman"/>
          <w:color w:val="1d2126"/>
          <w:spacing w:val="8"/>
          <w:sz w:val="28"/>
          <w:u w:val="single"/>
        </w:rPr>
        <w:t xml:space="preserve">Третий (современный)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 этап в развитии Английской школы связан с переосмыслением поздних работ Х. Булла начала 1980-х гг. и пришёлся на первые два десятилетияXXI в. 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  <w:u w:val="single"/>
        </w:rPr>
        <w:t xml:space="preserve">В это время внут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ри Английской школы международных отношений появились 2 позиции: </w:t>
      </w:r>
      <w:r>
        <w:rPr>
          <w:rFonts w:ascii="Times New Roman" w:hAnsi="Times New Roman" w:eastAsia="Times New Roman" w:cs="Times New Roman"/>
          <w:b/>
          <w:color w:val="1d2126"/>
          <w:spacing w:val="8"/>
          <w:sz w:val="28"/>
        </w:rPr>
        <w:t xml:space="preserve">плюрализма и солидаризма.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Расхождения проявились в различном понимании государства как участника международных отношений, оценке роли иных акторов, толковании источников международного права, определении целей международного порядка, количества и значения институтов международного 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общества.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76" w:lineRule="auto"/>
        <w:ind w:right="0" w:firstLine="567" w:left="0"/>
        <w:jc w:val="both"/>
        <w:rPr/>
      </w:pP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Плюралисты, считают, что современное международное общество остаётся обществом государств и обществом для государств. Уникальность современного этапа развития международного общества состоит в том, что оно функционирует в глобальном масштабе и более не явл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яется европейским, или западным. В этом смысле современное международное общество управляется через глобальный пакт – специфические нормы и институты современных международных отношений. Так, основу современного глобального общества составляет вовсе не бал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анс сил, но решения Хельсинкского </w:t>
      </w:r>
      <w:hyperlink r:id="rId12" w:tooltip="https://bigenc.ru/c/zakliuchitel-nyi-akt-soveshchaniia-po-bezopasnosti-i-sotrudnichestvu-v-evrope-1975-dd5982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8"/>
            <w:sz w:val="28"/>
            <w:u w:val="none"/>
          </w:rPr>
          <w:t xml:space="preserve">Заключительного акта Совещания по безопасности и сотрудничеству в Европе 1975 г.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76" w:lineRule="auto"/>
        <w:ind w:right="0" w:firstLine="567" w:left="0"/>
        <w:jc w:val="both"/>
        <w:rPr/>
      </w:pP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Солидаристы, напротив, полагают, что современное международное общество эволюционирует в сторону общества мирового. Уделяют внимание новым международным нормам и институтам: правам человека, гуманитарной интервенции, идеям мирового гражданства, новым предс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тавлениям о международной легитимности.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line="276" w:lineRule="auto"/>
        <w:ind w:right="0" w:firstLine="567" w:left="0"/>
        <w:jc w:val="both"/>
        <w:rPr/>
      </w:pPr>
      <w:r>
        <w:rPr>
          <w:rFonts w:ascii="Times New Roman" w:hAnsi="Times New Roman" w:eastAsia="Times New Roman" w:cs="Times New Roman"/>
          <w:color w:val="1d2126"/>
          <w:spacing w:val="8"/>
          <w:sz w:val="28"/>
          <w:u w:val="single"/>
        </w:rPr>
        <w:t xml:space="preserve">Дебаты между 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солидаристами и плюралистами поставили вопрос о границах эвристического потенциала созданной концепции, о соотношении между системой государств и мировым обществом для нового поколения британских международников. На сегодняшний день дебаты меж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ду этими позициями не завершены. Огромную работу по выходу из сложившейся внутри Английской школы ситуации за последнюю четверть века проделал Б. Бузан, который с 1999 по 2011 гг. руководил проектом по возрождению теории сообщества. К числу современных пре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дставителей сообщества можно отнести М. Кохран, Д. Грина, К. Навари, Э. Харрелла, К. Реус-Смита, Т. Данна, Н. Уилера</w:t>
      </w:r>
      <w:r>
        <w:rPr>
          <w:rFonts w:ascii="Arial" w:hAnsi="Arial" w:eastAsia="Arial" w:cs="Arial"/>
          <w:color w:val="1d2126"/>
          <w:spacing w:val="8"/>
          <w:sz w:val="26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567"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color w:val="1d2126"/>
          <w:spacing w:val="8"/>
          <w:sz w:val="28"/>
          <w:u w:val="single"/>
        </w:rPr>
        <w:t xml:space="preserve">Б. Бузан развил основные положения структурализма применительно к региональным систем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ам. По его мнению, государства-соседи находятся в тесной взаимосвязи друг с другом. Исходя из этого, национальная безоп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асность одного государства находится в прямой зависимости от национальной безопасности других государств. В результате ключевыми факторами, определяющими структуру региональной системы, являются, с одной стороны, распределение возможностей между акторами, </w:t>
      </w:r>
      <w:r>
        <w:rPr>
          <w:rFonts w:ascii="Times New Roman" w:hAnsi="Times New Roman" w:eastAsia="Times New Roman" w:cs="Times New Roman"/>
          <w:color w:val="1d2126"/>
          <w:spacing w:val="8"/>
          <w:sz w:val="28"/>
        </w:rPr>
        <w:t xml:space="preserve">с другой стороны, отношения враждебности или дружественности между ними. Оба фактора, как показывает Б. Бузан, являются объектом манипулирования великих держав. Известные работы</w:t>
      </w:r>
      <w:hyperlink r:id="rId13" w:tooltip="https://ru.ruwiki.ru/w/index.php?title=%D0%91%D0%B5%D0%B7%D0%BE%D0%BF%D0%B0%D1%81%D0%BD%D0%BE%D1%81%D1%82%D1%8C:_%D0%BD%D0%BE%D0%B2%D1%8B%D0%B5_%D1%80%D0%B0%D0%BC%D0%BA%D0%B8_%D0%B4%D0%BB%D1%8F_%D0%B0%D0%BD%D0%B0%D0%BB%D0%B8%D0%B7%D0%B0&amp;action=edit&amp;redlink=1" w:history="1">
        <w:r>
          <w:rPr>
            <w:rStyle w:val="186"/>
            <w:rFonts w:ascii="Times New Roman" w:hAnsi="Times New Roman" w:eastAsia="Times New Roman" w:cs="Times New Roman"/>
            <w:b w:val="0"/>
            <w:bCs w:val="0"/>
            <w:i/>
            <w:color w:val="000000" w:themeColor="text1"/>
            <w:sz w:val="28"/>
            <w:u w:val="none"/>
          </w:rPr>
          <w:t xml:space="preserve"> Безопасность:новые рамки для анализа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 (1997) </w:t>
      </w:r>
      <w:hyperlink r:id="rId14" w:tooltip="https://ru.ruwiki.ru/w/index.php?title=%D0%A0%D0%B5%D0%B3%D0%B8%D0%BE%D0%BD%D1%8B_%D0%B8_%D0%B4%D0%B5%D1%80%D0%B6%D0%B0%D0%B2%D1%8B:_%D1%81%D1%82%D1%80%D1%83%D0%BA%D1%82%D1%83%D1%80%D0%B0_%D0%BC%D0%B5%D0%B6%D0%B4%D1%83%D0%BD%D0%B0%D1%80%D0%BE%D0%B4%D0%BD%D0%BE%D0%B9_%D0%B1%D0%B5%D0%B7%D0%BE%D0%BF%D0%B0%D1%81%D0%BD%D0%BE%D1%81%D1%82%D0%B8&amp;action=edit&amp;redlink=1" w:history="1">
        <w:r>
          <w:rPr>
            <w:rStyle w:val="186"/>
            <w:rFonts w:ascii="Times New Roman" w:hAnsi="Times New Roman" w:eastAsia="Times New Roman" w:cs="Times New Roman"/>
            <w:b w:val="0"/>
            <w:bCs w:val="0"/>
            <w:i/>
            <w:color w:val="000000" w:themeColor="text1"/>
            <w:sz w:val="28"/>
            <w:u w:val="none"/>
          </w:rPr>
          <w:t xml:space="preserve">Регионы и державы:структура международной безопасности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 (2003).</w:t>
      </w:r>
      <w:hyperlink r:id="rId15" w:tooltip="https://ru.ruwiki.ru/w/index.php?title=%D0%9B%D1%8E%D0%B4%D0%B8,_%D0%B3%D0%BE%D1%81%D1%83%D0%B4%D0%B0%D1%80%D1%81%D1%82%D0%B2%D0%B0_%D0%B8_%D1%81%D1%82%D1%80%D0%B0%D1%85:_%D0%BF%D1%80%D0%BE%D0%B1%D0%BB%D0%B5%D0%BC%D1%8B_%D0%BD%D0%B0%D1%86%D0%B8%D0%BE%D0%BD%D0%B0%D0%BB%D1%8C%D0%BD%D0%BE%D0%B9_%D0%B1%D0%B5%D0%B7%D0%BE%D0%BF%D0%B0%D1%81%D0%BD%D0%BE%D1%81%D1%82%D0%B8_%D0%B2_%D0%BC%D0%B5%D0%B6%D0%B4%D1%83%D0%BD%D0%B0%D1%80%D0%BE%D0%B4%D0%BD%D1%8B%D1%85_%D0%BE%D1%82%D0%BD%D0%BE%D1%88%D0%B5%D0%BD%D0%B8%D1%8F%D1%85&amp;action=edit&amp;redlink=1" w:history="1">
        <w:r>
          <w:rPr>
            <w:rStyle w:val="186"/>
            <w:rFonts w:ascii="Times New Roman" w:hAnsi="Times New Roman" w:eastAsia="Times New Roman" w:cs="Times New Roman"/>
            <w:b w:val="0"/>
            <w:bCs w:val="0"/>
            <w:i/>
            <w:color w:val="000000" w:themeColor="text1"/>
            <w:sz w:val="28"/>
            <w:u w:val="none"/>
          </w:rPr>
          <w:t xml:space="preserve">Люди, государства и страх: проблемы национальной безопасности в международных отношениях</w:t>
        </w:r>
      </w:hyperlink>
      <w:r>
        <w:rPr>
          <w:rFonts w:ascii="Times New Roman" w:hAnsi="Times New Roman" w:eastAsia="Times New Roman" w:cs="Times New Roman"/>
          <w:b w:val="0"/>
          <w:bCs w:val="0"/>
          <w:i/>
          <w:color w:val="000000" w:themeColor="text1"/>
          <w:sz w:val="28"/>
          <w:u w:val="none"/>
        </w:rPr>
        <w:t xml:space="preserve"> .</w:t>
      </w:r>
      <w:hyperlink r:id="rId16" w:tooltip="https://ru.ruwiki.ru/w/index.php?title=%D0%9F%D0%B5%D1%80%D0%B5%D0%BD%D0%B0%D1%81%D1%82%D1%80%D0%BE%D0%B9%D0%BA%D0%B0_%D0%B5%D0%B2%D1%80%D0%BE%D0%BF%D0%B5%D0%B9%D1%81%D0%BA%D0%BE%D0%B9_%D1%81%D1%82%D1%80%D1%83%D0%BA%D1%82%D1%83%D1%80%D1%8B_%D0%B1%D0%B5%D0%B7%D0%BE%D0%BF%D0%B0%D1%81%D0%BD%D0%BE%D1%81%D1%82%D0%B8:_%D1%81%D1%86%D0%B5%D0%BD%D0%B0%D1%80%D0%B8%D0%B8_%D0%B4%D0%BB%D1%8F_%D1%8D%D1%80%D1%8B_%D0%BF%D0%BE%D1%81%D0%BB%D0%B5_%D0%A5%D0%BE%D0%BB%D0%BE%D0%B4%D0%BD%D0%BE%D0%B9_%D0%B2%D0%BE%D0%B9%D0%BD%D1%8B&amp;action=edit&amp;redlink=1" w:history="1">
        <w:r>
          <w:rPr>
            <w:rStyle w:val="186"/>
            <w:rFonts w:ascii="Times New Roman" w:hAnsi="Times New Roman" w:eastAsia="Times New Roman" w:cs="Times New Roman"/>
            <w:b w:val="0"/>
            <w:bCs w:val="0"/>
            <w:i/>
            <w:color w:val="000000" w:themeColor="text1"/>
            <w:sz w:val="28"/>
            <w:u w:val="none"/>
          </w:rPr>
          <w:t xml:space="preserve">Перенастройка европейской структуры безопасности: сценарии для эры после Холодной войны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u w:val="none"/>
        </w:rPr>
        <w:t xml:space="preserve"> .</w:t>
      </w:r>
      <w:r>
        <w:rPr>
          <w:rFonts w:ascii="Arial" w:hAnsi="Arial" w:eastAsia="Arial" w:cs="Arial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36"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Евроатлантизм или трансатлантизм — геополитическая философия политического, экономического, военного сближения гос-в Северной Америки и Европы под общими ценностями демократии, индивидуализма, свободы и верховенства права.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7" w:left="0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Английская школа выглядит следующим образом: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(1) основными участниками международной системы являются суверенные «государства», города-государства или государства-нации;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(2) в международных отношениях существует система государств, когда два или более государств имеют достаточные контакты между собой и оказывают достаточное воздействие на решения друг друга;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(3) существует анархия в международной системе, что означает отсутствие общего правительства;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(4) государства в международной системе существуют в «международном обществе» которые признают общие интересы и общие ценности, образующие общество в том смысле, что они считают себя связанными общим сводом правил, регулирующих отношения друг с другом и до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лю в работе общих учреждений.</w:t>
      </w:r>
      <w:r/>
      <w:r>
        <w:rPr>
          <w:rFonts w:ascii="Times New Roman" w:hAnsi="Times New Roman" w:eastAsia="Times New Roman" w:cs="Times New Roman"/>
          <w:color w:val="1d2126"/>
          <w:spacing w:val="8"/>
          <w:sz w:val="28"/>
        </w:rPr>
      </w:r>
      <w:r/>
      <w:r>
        <w:rPr>
          <w:sz w:val="22"/>
        </w:rPr>
      </w:r>
      <w:r/>
      <w:r>
        <w:rPr>
          <w:sz w:val="22"/>
        </w:rPr>
      </w:r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bigenc.ru/c/prussiia-ae4d7f" TargetMode="External"/><Relationship Id="rId9" Type="http://schemas.openxmlformats.org/officeDocument/2006/relationships/hyperlink" Target="https://bigenc.ru/c/balans-sil-697cc0" TargetMode="External"/><Relationship Id="rId10" Type="http://schemas.openxmlformats.org/officeDocument/2006/relationships/hyperlink" Target="https://bigenc.ru/c/istoricheskaia-sotsiologiia-efdf77" TargetMode="External"/><Relationship Id="rId11" Type="http://schemas.openxmlformats.org/officeDocument/2006/relationships/hyperlink" Target="https://bigenc.ru/c/reimond-dzhon-vinsent-960164" TargetMode="External"/><Relationship Id="rId12" Type="http://schemas.openxmlformats.org/officeDocument/2006/relationships/hyperlink" Target="https://bigenc.ru/c/zakliuchitel-nyi-akt-soveshchaniia-po-bezopasnosti-i-sotrudnichestvu-v-evrope-1975-dd5982" TargetMode="External"/><Relationship Id="rId13" Type="http://schemas.openxmlformats.org/officeDocument/2006/relationships/hyperlink" Target="https://ru.ruwiki.ru/w/index.php?title=%D0%91%D0%B5%D0%B7%D0%BE%D0%BF%D0%B0%D1%81%D0%BD%D0%BE%D1%81%D1%82%D1%8C:_%D0%BD%D0%BE%D0%B2%D1%8B%D0%B5_%D1%80%D0%B0%D0%BC%D0%BA%D0%B8_%D0%B4%D0%BB%D1%8F_%D0%B0%D0%BD%D0%B0%D0%BB%D0%B8%D0%B7%D0%B0&amp;action=edit&amp;redlink=1" TargetMode="External"/><Relationship Id="rId14" Type="http://schemas.openxmlformats.org/officeDocument/2006/relationships/hyperlink" Target="https://ru.ruwiki.ru/w/index.php?title=%D0%A0%D0%B5%D0%B3%D0%B8%D0%BE%D0%BD%D1%8B_%D0%B8_%D0%B4%D0%B5%D1%80%D0%B6%D0%B0%D0%B2%D1%8B:_%D1%81%D1%82%D1%80%D1%83%D0%BA%D1%82%D1%83%D1%80%D0%B0_%D0%BC%D0%B5%D0%B6%D0%B4%D1%83%D0%BD%D0%B0%D1%80%D0%BE%D0%B4%D0%BD%D0%BE%D0%B9_%D0%B1%D0%B5%D0%B7%D0%BE%D0%BF%D0%B0%D1%81%D0%BD%D0%BE%D1%81%D1%82%D0%B8&amp;action=edit&amp;redlink=1" TargetMode="External"/><Relationship Id="rId15" Type="http://schemas.openxmlformats.org/officeDocument/2006/relationships/hyperlink" Target="https://ru.ruwiki.ru/w/index.php?title=%D0%9B%D1%8E%D0%B4%D0%B8,_%D0%B3%D0%BE%D1%81%D1%83%D0%B4%D0%B0%D1%80%D1%81%D1%82%D0%B2%D0%B0_%D0%B8_%D1%81%D1%82%D1%80%D0%B0%D1%85:_%D0%BF%D1%80%D0%BE%D0%B1%D0%BB%D0%B5%D0%BC%D1%8B_%D0%BD%D0%B0%D1%86%D0%B8%D0%BE%D0%BD%D0%B0%D0%BB%D1%8C%D0%BD%D0%BE%D0%B9_%D0%B1%D0%B5%D0%B7%D0%BE%D0%BF%D0%B0%D1%81%D0%BD%D0%BE%D1%81%D1%82%D0%B8_%D0%B2_%D0%BC%D0%B5%D0%B6%D0%B4%D1%83%D0%BD%D0%B0%D1%80%D0%BE%D0%B4%D0%BD%D1%8B%D1%85_%D0%BE%D1%82%D0%BD%D0%BE%D1%88%D0%B5%D0%BD%D0%B8%D1%8F%D1%85&amp;action=edit&amp;redlink=1" TargetMode="External"/><Relationship Id="rId16" Type="http://schemas.openxmlformats.org/officeDocument/2006/relationships/hyperlink" Target="https://ru.ruwiki.ru/w/index.php?title=%D0%9F%D0%B5%D1%80%D0%B5%D0%BD%D0%B0%D1%81%D1%82%D1%80%D0%BE%D0%B9%D0%BA%D0%B0_%D0%B5%D0%B2%D1%80%D0%BE%D0%BF%D0%B5%D0%B9%D1%81%D0%BA%D0%BE%D0%B9_%D1%81%D1%82%D1%80%D1%83%D0%BA%D1%82%D1%83%D1%80%D1%8B_%D0%B1%D0%B5%D0%B7%D0%BE%D0%BF%D0%B0%D1%81%D0%BD%D0%BE%D1%81%D1%82%D0%B8:_%D1%81%D1%86%D0%B5%D0%BD%D0%B0%D1%80%D0%B8%D0%B8_%D0%B4%D0%BB%D1%8F_%D1%8D%D1%80%D1%8B_%D0%BF%D0%BE%D1%81%D0%BB%D0%B5_%D0%A5%D0%BE%D0%BB%D0%BE%D0%B4%D0%BD%D0%BE%D0%B9_%D0%B2%D0%BE%D0%B9%D0%BD%D1%8B&amp;action=edit&amp;redlink=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2024-09-26T19:56:51Z</dcterms:modified>
</cp:coreProperties>
</file>