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4555F" w14:textId="74CE0E0F" w:rsidR="00F7588B" w:rsidRPr="00F7588B" w:rsidRDefault="00F7588B" w:rsidP="00A0503A">
      <w:pPr>
        <w:jc w:val="center"/>
        <w:rPr>
          <w:rFonts w:ascii="Times New Roman" w:hAnsi="Times New Roman" w:cs="Times New Roman"/>
          <w:sz w:val="28"/>
          <w:szCs w:val="28"/>
        </w:rPr>
      </w:pPr>
      <w:r w:rsidRPr="00F7588B">
        <w:rPr>
          <w:rFonts w:ascii="Times New Roman" w:hAnsi="Times New Roman" w:cs="Times New Roman"/>
          <w:b/>
          <w:bCs/>
          <w:sz w:val="28"/>
          <w:szCs w:val="28"/>
        </w:rPr>
        <w:t>Ирано-саудовские отношения</w:t>
      </w:r>
      <w:r w:rsidR="00A0503A" w:rsidRPr="00A0503A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F7588B">
        <w:rPr>
          <w:rFonts w:ascii="Times New Roman" w:hAnsi="Times New Roman" w:cs="Times New Roman"/>
          <w:b/>
          <w:bCs/>
          <w:sz w:val="28"/>
          <w:szCs w:val="28"/>
        </w:rPr>
        <w:t xml:space="preserve"> Арабская холодная война</w:t>
      </w:r>
      <w:r w:rsidR="00A0503A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A1BF88D" w14:textId="77777777" w:rsidR="00F7588B" w:rsidRPr="00F7588B" w:rsidRDefault="00F7588B" w:rsidP="00A0503A">
      <w:pPr>
        <w:jc w:val="both"/>
        <w:rPr>
          <w:rFonts w:ascii="Times New Roman" w:hAnsi="Times New Roman" w:cs="Times New Roman"/>
          <w:sz w:val="28"/>
          <w:szCs w:val="28"/>
        </w:rPr>
      </w:pPr>
      <w:r w:rsidRPr="00C05D3A">
        <w:rPr>
          <w:rFonts w:ascii="Times New Roman" w:hAnsi="Times New Roman" w:cs="Times New Roman"/>
          <w:sz w:val="28"/>
          <w:szCs w:val="28"/>
          <w:u w:val="single"/>
        </w:rPr>
        <w:t>Ближний Восток</w:t>
      </w:r>
      <w:r w:rsidRPr="00F7588B">
        <w:rPr>
          <w:rFonts w:ascii="Times New Roman" w:hAnsi="Times New Roman" w:cs="Times New Roman"/>
          <w:sz w:val="28"/>
          <w:szCs w:val="28"/>
        </w:rPr>
        <w:t xml:space="preserve"> издавна считается одним из самых нестабильных и конфликтных регионов мира. Здесь пересекаются интересы множества государств, мировых и региональных центров силы, а религиозные, этнические и политические противоречия часто превращаются в открытые столкновения. Особое место в системе ближневосточных конфликтов занимает противостояние между шиитским Ираном и суннитской Саудовской Аравией, которое исследователи нередко называют «арабской холодной войной». Это соперничество двух крупнейших мусульманских держав не ограничивается вопросами вероисповедания. Оно отражает борьбу за политическое, экономическое и идеологическое лидерство в исламском мире, а также за контроль над стратегически важными территориями региона.</w:t>
      </w:r>
    </w:p>
    <w:p w14:paraId="0E1B074D" w14:textId="77777777" w:rsidR="00F7588B" w:rsidRPr="00F7588B" w:rsidRDefault="00F7588B" w:rsidP="00A0503A">
      <w:pPr>
        <w:jc w:val="both"/>
        <w:rPr>
          <w:rFonts w:ascii="Times New Roman" w:hAnsi="Times New Roman" w:cs="Times New Roman"/>
          <w:sz w:val="28"/>
          <w:szCs w:val="28"/>
        </w:rPr>
      </w:pPr>
      <w:r w:rsidRPr="00C05D3A">
        <w:rPr>
          <w:rFonts w:ascii="Times New Roman" w:hAnsi="Times New Roman" w:cs="Times New Roman"/>
          <w:sz w:val="28"/>
          <w:szCs w:val="28"/>
          <w:u w:val="single"/>
        </w:rPr>
        <w:t>Разделение ислама</w:t>
      </w:r>
      <w:r w:rsidRPr="00F7588B">
        <w:rPr>
          <w:rFonts w:ascii="Times New Roman" w:hAnsi="Times New Roman" w:cs="Times New Roman"/>
          <w:sz w:val="28"/>
          <w:szCs w:val="28"/>
        </w:rPr>
        <w:t xml:space="preserve"> на суннитов и шиитов произошло ещё в VII веке и было связано с вопросом о преемственности власти после смерти пророка Мухаммада. Сунниты полагали, что власть должна принадлежать избранным представителям мусульманской общины — халифам, тогда как шииты признавали законным лишь руководство потомков имама Али, зятя Пророка. Со временем эти теологические различия приобрели не только религиозное, но и политическое значение. В современном мире государства, исповедующие различные направления ислама, используют конфессиональную принадлежность как инструмент внешней политики. Для Ирана шиизм стал идеологической основой исламской революции и главным элементом национальной идентичности, а для Саудовской Аравии суннизм, в его ваххабитской интерпретации, служит фундаментом государственной идеологии и легитимации власти династии Саудов.</w:t>
      </w:r>
    </w:p>
    <w:p w14:paraId="3DF3D2CA" w14:textId="77777777" w:rsidR="00F7588B" w:rsidRPr="00F7588B" w:rsidRDefault="00F7588B" w:rsidP="00A0503A">
      <w:pPr>
        <w:jc w:val="both"/>
        <w:rPr>
          <w:rFonts w:ascii="Times New Roman" w:hAnsi="Times New Roman" w:cs="Times New Roman"/>
          <w:sz w:val="28"/>
          <w:szCs w:val="28"/>
        </w:rPr>
      </w:pPr>
      <w:r w:rsidRPr="00EE3763">
        <w:rPr>
          <w:rFonts w:ascii="Times New Roman" w:hAnsi="Times New Roman" w:cs="Times New Roman"/>
          <w:sz w:val="28"/>
          <w:szCs w:val="28"/>
          <w:u w:val="single"/>
        </w:rPr>
        <w:t>Ключевым рубежом</w:t>
      </w:r>
      <w:r w:rsidRPr="00F7588B">
        <w:rPr>
          <w:rFonts w:ascii="Times New Roman" w:hAnsi="Times New Roman" w:cs="Times New Roman"/>
          <w:sz w:val="28"/>
          <w:szCs w:val="28"/>
        </w:rPr>
        <w:t xml:space="preserve"> в формировании ирано-саудовского противостояния стала Исламская революция 1979 года в Иране. В результате свержения шаха Мохаммеда Реза Пехлеви к власти пришёл аятолла </w:t>
      </w:r>
      <w:proofErr w:type="spellStart"/>
      <w:r w:rsidRPr="00F7588B">
        <w:rPr>
          <w:rFonts w:ascii="Times New Roman" w:hAnsi="Times New Roman" w:cs="Times New Roman"/>
          <w:sz w:val="28"/>
          <w:szCs w:val="28"/>
        </w:rPr>
        <w:t>Рухолла</w:t>
      </w:r>
      <w:proofErr w:type="spellEnd"/>
      <w:r w:rsidRPr="00F7588B">
        <w:rPr>
          <w:rFonts w:ascii="Times New Roman" w:hAnsi="Times New Roman" w:cs="Times New Roman"/>
          <w:sz w:val="28"/>
          <w:szCs w:val="28"/>
        </w:rPr>
        <w:t xml:space="preserve"> Хомейни, провозгласивший создание Исламской Республики Иран и курс на «экспорт исламской революции» в мусульманские страны. Иранское руководство стремилось распространить влияние среди шиитских общин в арабском мире, поддерживая идею исламского возрождения и антизападного сопротивления. Саудовская Аравия восприняла это как прямую угрозу своему положению лидера суннитского мира и союзника США. Именно с конца 1970-х годов началось длительное соперничество между двумя державами, переросшее в системный конфликт, охвативший почти все ключевые страны Ближнего Востока.</w:t>
      </w:r>
    </w:p>
    <w:p w14:paraId="4DEA639A" w14:textId="77777777" w:rsidR="00F7588B" w:rsidRPr="00F7588B" w:rsidRDefault="00F7588B" w:rsidP="00A0503A">
      <w:pPr>
        <w:jc w:val="both"/>
        <w:rPr>
          <w:rFonts w:ascii="Times New Roman" w:hAnsi="Times New Roman" w:cs="Times New Roman"/>
          <w:sz w:val="28"/>
          <w:szCs w:val="28"/>
        </w:rPr>
      </w:pPr>
      <w:r w:rsidRPr="00EE3763">
        <w:rPr>
          <w:rFonts w:ascii="Times New Roman" w:hAnsi="Times New Roman" w:cs="Times New Roman"/>
          <w:sz w:val="28"/>
          <w:szCs w:val="28"/>
          <w:u w:val="single"/>
        </w:rPr>
        <w:lastRenderedPageBreak/>
        <w:t>Иран и Саудовская</w:t>
      </w:r>
      <w:r w:rsidRPr="00F7588B">
        <w:rPr>
          <w:rFonts w:ascii="Times New Roman" w:hAnsi="Times New Roman" w:cs="Times New Roman"/>
          <w:sz w:val="28"/>
          <w:szCs w:val="28"/>
        </w:rPr>
        <w:t xml:space="preserve"> Аравия преследуют разные цели, определяемые их историческим опытом и политическими установками. Иран стремится укрепить влияние шиитских общин и создать так называемую «ось сопротивления», включающую Сирию, Ливанскую «Хезболлу» и шиитские организации в Ираке и Йемене. В Тегеране считают, что страна имеет особую миссию — противостоять западной экспансии и навязанным извне режимам. Саудовская Аравия, напротив, выступает защитницей суннитского ислама и традиционных монархий, опираясь на поддержку Соединённых Штатов и других западных партнёров. Эр-Рияд опасается усиления Ирана, рассматривая распространение шиитского влияния как угрозу своей безопасности и политическому лидерству в мусульманском мире.</w:t>
      </w:r>
    </w:p>
    <w:p w14:paraId="33FBEB14" w14:textId="77777777" w:rsidR="00F7588B" w:rsidRPr="00F7588B" w:rsidRDefault="00F7588B" w:rsidP="00A0503A">
      <w:pPr>
        <w:jc w:val="both"/>
        <w:rPr>
          <w:rFonts w:ascii="Times New Roman" w:hAnsi="Times New Roman" w:cs="Times New Roman"/>
          <w:sz w:val="28"/>
          <w:szCs w:val="28"/>
        </w:rPr>
      </w:pPr>
      <w:r w:rsidRPr="00EE3763">
        <w:rPr>
          <w:rFonts w:ascii="Times New Roman" w:hAnsi="Times New Roman" w:cs="Times New Roman"/>
          <w:sz w:val="28"/>
          <w:szCs w:val="28"/>
          <w:u w:val="single"/>
        </w:rPr>
        <w:t>Соперничество И</w:t>
      </w:r>
      <w:r w:rsidRPr="00F7588B">
        <w:rPr>
          <w:rFonts w:ascii="Times New Roman" w:hAnsi="Times New Roman" w:cs="Times New Roman"/>
          <w:sz w:val="28"/>
          <w:szCs w:val="28"/>
        </w:rPr>
        <w:t>рана и Саудовской Аравии не выражается в открытых военных действиях, но проявляется через многочисленные региональные конфликты и «войны по доверенности». Одним из первых полей столкновения стал Ирак. После свержения режима Саддама Хусейна в 2003 году к власти в стране пришло шиитское большинство, что резко усилило позиции Ирана. Саудовская Аравия восприняла это как геополитический проигрыш и попыталась восстановить баланс, поддерживая суннитские группы и критикуя тесное сотрудничество Багдада с Тегераном. Именно тогда появился термин «шиитский полумесяц», обозначающий цепочку государств и территорий, находящихся под влиянием Ирана — от Тегерана через Багдад и Дамаск до Бейрута.</w:t>
      </w:r>
    </w:p>
    <w:p w14:paraId="627639D4" w14:textId="77777777" w:rsidR="00F7588B" w:rsidRPr="00F7588B" w:rsidRDefault="00F7588B" w:rsidP="00A0503A">
      <w:pPr>
        <w:jc w:val="both"/>
        <w:rPr>
          <w:rFonts w:ascii="Times New Roman" w:hAnsi="Times New Roman" w:cs="Times New Roman"/>
          <w:sz w:val="28"/>
          <w:szCs w:val="28"/>
        </w:rPr>
      </w:pPr>
      <w:r w:rsidRPr="000A5C7B">
        <w:rPr>
          <w:rFonts w:ascii="Times New Roman" w:hAnsi="Times New Roman" w:cs="Times New Roman"/>
          <w:sz w:val="28"/>
          <w:szCs w:val="28"/>
          <w:u w:val="single"/>
        </w:rPr>
        <w:t>Одной из главных</w:t>
      </w:r>
      <w:r w:rsidRPr="00F7588B">
        <w:rPr>
          <w:rFonts w:ascii="Times New Roman" w:hAnsi="Times New Roman" w:cs="Times New Roman"/>
          <w:sz w:val="28"/>
          <w:szCs w:val="28"/>
        </w:rPr>
        <w:t xml:space="preserve"> арен ирано-саудовского соперничества стала Сирия. Гражданская война, начавшаяся в 2011 году, превратилась в масштабное противостояние между двумя лагерями. Иран поддержал правительство Башара Асада, представляющего алавитскую (шиитскую) общину, оказывая ему военную и финансовую помощь, а также направляя подразделения Корпуса стражей исламской революции и бойцов ливанской «Хезболлы». Саудовская Аравия, напротив, выступила на стороне суннитской оппозиции, поставляя вооружение и ресурсы антиправительственным силам. Таким образом, сирийский конфликт стал символом «арабской холодной войны», где вместо прямого столкновения двух государств идёт борьба их союзников и идеологических последователей.</w:t>
      </w:r>
    </w:p>
    <w:p w14:paraId="6C955281" w14:textId="77777777" w:rsidR="00F7588B" w:rsidRPr="00F7588B" w:rsidRDefault="00F7588B" w:rsidP="00A0503A">
      <w:pPr>
        <w:jc w:val="both"/>
        <w:rPr>
          <w:rFonts w:ascii="Times New Roman" w:hAnsi="Times New Roman" w:cs="Times New Roman"/>
          <w:sz w:val="28"/>
          <w:szCs w:val="28"/>
        </w:rPr>
      </w:pPr>
      <w:r w:rsidRPr="000A5C7B">
        <w:rPr>
          <w:rFonts w:ascii="Times New Roman" w:hAnsi="Times New Roman" w:cs="Times New Roman"/>
          <w:sz w:val="28"/>
          <w:szCs w:val="28"/>
          <w:u w:val="single"/>
        </w:rPr>
        <w:t>Не менее</w:t>
      </w:r>
      <w:r w:rsidRPr="00F7588B">
        <w:rPr>
          <w:rFonts w:ascii="Times New Roman" w:hAnsi="Times New Roman" w:cs="Times New Roman"/>
          <w:sz w:val="28"/>
          <w:szCs w:val="28"/>
        </w:rPr>
        <w:t xml:space="preserve"> показательно развитие ситуации в Ливане. Здесь противоборство воплотилось в противостоянии между шиитским движением «Хезболла», тесно связанным с Ираном, и суннитским «Движением за будущее», опирающимся на поддержку Саудовской Аравии. «Хезболла» фактически </w:t>
      </w:r>
      <w:r w:rsidRPr="00F7588B">
        <w:rPr>
          <w:rFonts w:ascii="Times New Roman" w:hAnsi="Times New Roman" w:cs="Times New Roman"/>
          <w:sz w:val="28"/>
          <w:szCs w:val="28"/>
        </w:rPr>
        <w:lastRenderedPageBreak/>
        <w:t>превратилась в инструмент внешней политики Ирана, а Ливан стал ареной соперничества двух держав, каждая из которых пытается сохранить за собой влияние в этой многонациональной стране. Аналогичные процессы наблюдаются в Бахрейне, где шииты составляют большинство населения, но власть принадлежит суннитской монархии. В 2011 году протестные выступления шиитов были подавлены при участии саудовских войск, что вызвало резкую реакцию Тегерана и обвинения Эр-Рияда во вмешательстве во внутренние дела соседнего государства.</w:t>
      </w:r>
    </w:p>
    <w:p w14:paraId="378B0C8F" w14:textId="77777777" w:rsidR="00F7588B" w:rsidRPr="00F7588B" w:rsidRDefault="00F7588B" w:rsidP="00A0503A">
      <w:pPr>
        <w:jc w:val="both"/>
        <w:rPr>
          <w:rFonts w:ascii="Times New Roman" w:hAnsi="Times New Roman" w:cs="Times New Roman"/>
          <w:sz w:val="28"/>
          <w:szCs w:val="28"/>
        </w:rPr>
      </w:pPr>
      <w:r w:rsidRPr="000A5C7B">
        <w:rPr>
          <w:rFonts w:ascii="Times New Roman" w:hAnsi="Times New Roman" w:cs="Times New Roman"/>
          <w:sz w:val="28"/>
          <w:szCs w:val="28"/>
          <w:u w:val="single"/>
        </w:rPr>
        <w:t>Особое место</w:t>
      </w:r>
      <w:r w:rsidRPr="00F7588B">
        <w:rPr>
          <w:rFonts w:ascii="Times New Roman" w:hAnsi="Times New Roman" w:cs="Times New Roman"/>
          <w:sz w:val="28"/>
          <w:szCs w:val="28"/>
        </w:rPr>
        <w:t xml:space="preserve"> в «арабской холодной войне» занимает йеменский конфликт. После начала восстания шиитских повстанцев-хуситов в 2014 году Саудовская Аравия возглавила военную коалицию арабских государств, обвинив Иран в поддержке мятежников. С 2015 года Йемен стал ареной кровопролитной прокси-войны, где Саудовская Аравия отстаивает сохранение </w:t>
      </w:r>
      <w:proofErr w:type="spellStart"/>
      <w:r w:rsidRPr="00F7588B">
        <w:rPr>
          <w:rFonts w:ascii="Times New Roman" w:hAnsi="Times New Roman" w:cs="Times New Roman"/>
          <w:sz w:val="28"/>
          <w:szCs w:val="28"/>
        </w:rPr>
        <w:t>прорежимных</w:t>
      </w:r>
      <w:proofErr w:type="spellEnd"/>
      <w:r w:rsidRPr="00F7588B">
        <w:rPr>
          <w:rFonts w:ascii="Times New Roman" w:hAnsi="Times New Roman" w:cs="Times New Roman"/>
          <w:sz w:val="28"/>
          <w:szCs w:val="28"/>
        </w:rPr>
        <w:t xml:space="preserve"> суннитских структур, а Иран — влияние шиитских сил. Война в Йемене привела к масштабному гуманитарному кризису и усугубила раскол внутри исламского мира.</w:t>
      </w:r>
    </w:p>
    <w:p w14:paraId="6C6DA0CA" w14:textId="77777777" w:rsidR="00F7588B" w:rsidRPr="00F7588B" w:rsidRDefault="00F7588B" w:rsidP="00A0503A">
      <w:pPr>
        <w:jc w:val="both"/>
        <w:rPr>
          <w:rFonts w:ascii="Times New Roman" w:hAnsi="Times New Roman" w:cs="Times New Roman"/>
          <w:sz w:val="28"/>
          <w:szCs w:val="28"/>
        </w:rPr>
      </w:pPr>
      <w:r w:rsidRPr="00492D1D">
        <w:rPr>
          <w:rFonts w:ascii="Times New Roman" w:hAnsi="Times New Roman" w:cs="Times New Roman"/>
          <w:sz w:val="28"/>
          <w:szCs w:val="28"/>
          <w:u w:val="single"/>
        </w:rPr>
        <w:t>Противостояние</w:t>
      </w:r>
      <w:r w:rsidRPr="00F7588B">
        <w:rPr>
          <w:rFonts w:ascii="Times New Roman" w:hAnsi="Times New Roman" w:cs="Times New Roman"/>
          <w:sz w:val="28"/>
          <w:szCs w:val="28"/>
        </w:rPr>
        <w:t xml:space="preserve"> Ирана и Саудовской Аравии оказывает огромное влияние на международные отношения. США традиционно поддерживают Эр-Рияд, рассматривая его как стратегического союзника и противовес Тегерану. Россия и Китай, напротив, стремятся укреплять сотрудничество с Ираном, видя в нём противовес американскому влиянию в регионе. В результате ближневосточная политика превратилась в систему пересекающихся альянсов и противоречий, где конфликт между Ираном и Саудовской Аравией стал одной из ключевых осей мировой геополитики. Международные исламские организации, такие как Лига арабских государств или Организация исламского сотрудничества, часто оказываются парализованными из-за глубокого раскола между шиитским и суннитским лагерями.</w:t>
      </w:r>
    </w:p>
    <w:p w14:paraId="44BE533A" w14:textId="77777777" w:rsidR="00F7588B" w:rsidRPr="00F7588B" w:rsidRDefault="00F7588B" w:rsidP="00A0503A">
      <w:pPr>
        <w:jc w:val="both"/>
        <w:rPr>
          <w:rFonts w:ascii="Times New Roman" w:hAnsi="Times New Roman" w:cs="Times New Roman"/>
          <w:sz w:val="28"/>
          <w:szCs w:val="28"/>
        </w:rPr>
      </w:pPr>
      <w:r w:rsidRPr="00492D1D">
        <w:rPr>
          <w:rFonts w:ascii="Times New Roman" w:hAnsi="Times New Roman" w:cs="Times New Roman"/>
          <w:sz w:val="28"/>
          <w:szCs w:val="28"/>
          <w:u w:val="single"/>
        </w:rPr>
        <w:t>Таким образом, ирано</w:t>
      </w:r>
      <w:r w:rsidRPr="00F7588B">
        <w:rPr>
          <w:rFonts w:ascii="Times New Roman" w:hAnsi="Times New Roman" w:cs="Times New Roman"/>
          <w:sz w:val="28"/>
          <w:szCs w:val="28"/>
        </w:rPr>
        <w:t xml:space="preserve">-саудовское соперничество представляет собой не просто религиозный спор, а комплексную борьбу за региональное лидерство и влияние в мусульманском мире. Оба государства умело используют конфессиональные различия для укрепления своих позиций и продвижения внешнеполитических интересов. «Арабская холодная война» стала символом современного Ближнего Востока — конфликта, в котором идеология, религия и политика переплетены и превращены в инструмент борьбы за власть. Несмотря на отдельные попытки нормализации отношений, особенно после 2016 года, когда дипломатические связи были разорваны, а затем частично восстановлены при посредничестве Китая, фундаментальные противоречия </w:t>
      </w:r>
      <w:r w:rsidRPr="00F7588B">
        <w:rPr>
          <w:rFonts w:ascii="Times New Roman" w:hAnsi="Times New Roman" w:cs="Times New Roman"/>
          <w:sz w:val="28"/>
          <w:szCs w:val="28"/>
        </w:rPr>
        <w:lastRenderedPageBreak/>
        <w:t>между Ираном и Саудовской Аравией сохраняются. Их соперничество продолжает определять конфигурацию ближневосточной политики, создавая постоянные очаги напряжённости в Ираке, Сирии, Йемене и Ливане.</w:t>
      </w:r>
    </w:p>
    <w:p w14:paraId="0DB3917B" w14:textId="2250FBED" w:rsidR="007805C6" w:rsidRDefault="00F7588B" w:rsidP="00A0503A">
      <w:pPr>
        <w:jc w:val="both"/>
        <w:rPr>
          <w:rFonts w:ascii="Times New Roman" w:hAnsi="Times New Roman" w:cs="Times New Roman"/>
          <w:sz w:val="28"/>
          <w:szCs w:val="28"/>
        </w:rPr>
      </w:pPr>
      <w:r w:rsidRPr="00F7588B">
        <w:rPr>
          <w:rFonts w:ascii="Times New Roman" w:hAnsi="Times New Roman" w:cs="Times New Roman"/>
          <w:sz w:val="28"/>
          <w:szCs w:val="28"/>
        </w:rPr>
        <w:t>Пока религиозные различия остаются частью государственной идеологии обеих стран, а борьба за лидерство в исламском мире воспринимается как вопрос национального престижа, перспектива примирения выглядит маловероятной. Поэтому ирано-саудовское противостояние остаётся ключевым фактором нестабильности на Ближнем Востоке и главным проявлением современной «арабской холодной войны», исход которой определит политическое будущее всего региона.</w:t>
      </w:r>
    </w:p>
    <w:p w14:paraId="0653737D" w14:textId="43A75E90" w:rsidR="00C01C05" w:rsidRPr="0036652F" w:rsidRDefault="00C01C05" w:rsidP="0036652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6652F">
        <w:rPr>
          <w:rFonts w:ascii="Times New Roman" w:hAnsi="Times New Roman" w:cs="Times New Roman"/>
          <w:b/>
          <w:bCs/>
          <w:sz w:val="28"/>
          <w:szCs w:val="28"/>
        </w:rPr>
        <w:t>Литература:</w:t>
      </w:r>
    </w:p>
    <w:p w14:paraId="38CAE12C" w14:textId="028F853A" w:rsidR="00B330F7" w:rsidRDefault="00B330F7" w:rsidP="00C01C05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330F7">
        <w:rPr>
          <w:rFonts w:ascii="Times New Roman" w:hAnsi="Times New Roman" w:cs="Times New Roman"/>
          <w:sz w:val="28"/>
          <w:szCs w:val="28"/>
        </w:rPr>
        <w:t xml:space="preserve">Азимов </w:t>
      </w:r>
      <w:proofErr w:type="gramStart"/>
      <w:r w:rsidRPr="00B330F7">
        <w:rPr>
          <w:rFonts w:ascii="Times New Roman" w:hAnsi="Times New Roman" w:cs="Times New Roman"/>
          <w:sz w:val="28"/>
          <w:szCs w:val="28"/>
        </w:rPr>
        <w:t>А.Р.</w:t>
      </w:r>
      <w:proofErr w:type="gramEnd"/>
      <w:r w:rsidRPr="00B330F7">
        <w:rPr>
          <w:rFonts w:ascii="Times New Roman" w:hAnsi="Times New Roman" w:cs="Times New Roman"/>
          <w:sz w:val="28"/>
          <w:szCs w:val="28"/>
        </w:rPr>
        <w:t xml:space="preserve"> Шиитский фактор в политике Саудовской Аравии // Вестник Санкт-Петербургского университета.</w:t>
      </w:r>
      <w:r w:rsidR="006C5E7E">
        <w:rPr>
          <w:rFonts w:ascii="Times New Roman" w:hAnsi="Times New Roman" w:cs="Times New Roman"/>
          <w:sz w:val="28"/>
          <w:szCs w:val="28"/>
        </w:rPr>
        <w:t xml:space="preserve"> </w:t>
      </w:r>
      <w:r w:rsidRPr="00B330F7">
        <w:rPr>
          <w:rFonts w:ascii="Times New Roman" w:hAnsi="Times New Roman" w:cs="Times New Roman"/>
          <w:sz w:val="28"/>
          <w:szCs w:val="28"/>
        </w:rPr>
        <w:t>Серия</w:t>
      </w:r>
      <w:r w:rsidR="006C5E7E">
        <w:rPr>
          <w:rFonts w:ascii="Times New Roman" w:hAnsi="Times New Roman" w:cs="Times New Roman"/>
          <w:sz w:val="28"/>
          <w:szCs w:val="28"/>
        </w:rPr>
        <w:t xml:space="preserve"> </w:t>
      </w:r>
      <w:r w:rsidRPr="00B330F7">
        <w:rPr>
          <w:rFonts w:ascii="Times New Roman" w:hAnsi="Times New Roman" w:cs="Times New Roman"/>
          <w:sz w:val="28"/>
          <w:szCs w:val="28"/>
        </w:rPr>
        <w:t xml:space="preserve">6: Политология. Международные отношения. </w:t>
      </w:r>
      <w:r w:rsidR="00F27686">
        <w:rPr>
          <w:rFonts w:ascii="Times New Roman" w:hAnsi="Times New Roman" w:cs="Times New Roman"/>
          <w:sz w:val="28"/>
          <w:szCs w:val="28"/>
        </w:rPr>
        <w:t xml:space="preserve">– </w:t>
      </w:r>
      <w:r w:rsidRPr="00B330F7">
        <w:rPr>
          <w:rFonts w:ascii="Times New Roman" w:hAnsi="Times New Roman" w:cs="Times New Roman"/>
          <w:sz w:val="28"/>
          <w:szCs w:val="28"/>
        </w:rPr>
        <w:t xml:space="preserve">2015. </w:t>
      </w:r>
      <w:r w:rsidR="00F27686">
        <w:rPr>
          <w:rFonts w:ascii="Times New Roman" w:hAnsi="Times New Roman" w:cs="Times New Roman"/>
          <w:sz w:val="28"/>
          <w:szCs w:val="28"/>
        </w:rPr>
        <w:t xml:space="preserve">– </w:t>
      </w:r>
      <w:r w:rsidRPr="00B330F7">
        <w:rPr>
          <w:rFonts w:ascii="Times New Roman" w:hAnsi="Times New Roman" w:cs="Times New Roman"/>
          <w:sz w:val="28"/>
          <w:szCs w:val="28"/>
        </w:rPr>
        <w:t xml:space="preserve"> № 4. </w:t>
      </w:r>
      <w:r w:rsidR="00F27686">
        <w:rPr>
          <w:rFonts w:ascii="Times New Roman" w:hAnsi="Times New Roman" w:cs="Times New Roman"/>
          <w:sz w:val="28"/>
          <w:szCs w:val="28"/>
        </w:rPr>
        <w:t xml:space="preserve">– </w:t>
      </w:r>
      <w:r w:rsidRPr="00B330F7">
        <w:rPr>
          <w:rFonts w:ascii="Times New Roman" w:hAnsi="Times New Roman" w:cs="Times New Roman"/>
          <w:sz w:val="28"/>
          <w:szCs w:val="28"/>
        </w:rPr>
        <w:t xml:space="preserve">С. </w:t>
      </w:r>
      <w:proofErr w:type="gramStart"/>
      <w:r w:rsidRPr="00B330F7">
        <w:rPr>
          <w:rFonts w:ascii="Times New Roman" w:hAnsi="Times New Roman" w:cs="Times New Roman"/>
          <w:sz w:val="28"/>
          <w:szCs w:val="28"/>
        </w:rPr>
        <w:t>102</w:t>
      </w:r>
      <w:r w:rsidR="00F27686">
        <w:rPr>
          <w:rFonts w:ascii="Times New Roman" w:hAnsi="Times New Roman" w:cs="Times New Roman"/>
          <w:sz w:val="28"/>
          <w:szCs w:val="28"/>
        </w:rPr>
        <w:t>-</w:t>
      </w:r>
      <w:r w:rsidRPr="00B330F7">
        <w:rPr>
          <w:rFonts w:ascii="Times New Roman" w:hAnsi="Times New Roman" w:cs="Times New Roman"/>
          <w:sz w:val="28"/>
          <w:szCs w:val="28"/>
        </w:rPr>
        <w:t>110</w:t>
      </w:r>
      <w:proofErr w:type="gramEnd"/>
      <w:r w:rsidRPr="00B330F7">
        <w:rPr>
          <w:rFonts w:ascii="Times New Roman" w:hAnsi="Times New Roman" w:cs="Times New Roman"/>
          <w:sz w:val="28"/>
          <w:szCs w:val="28"/>
        </w:rPr>
        <w:t>.</w:t>
      </w:r>
    </w:p>
    <w:p w14:paraId="2703FF0E" w14:textId="081472A6" w:rsidR="00C545E9" w:rsidRDefault="00C545E9" w:rsidP="00C01C05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545E9">
        <w:rPr>
          <w:rFonts w:ascii="Times New Roman" w:hAnsi="Times New Roman" w:cs="Times New Roman"/>
          <w:sz w:val="28"/>
          <w:szCs w:val="28"/>
        </w:rPr>
        <w:t>Музыкина</w:t>
      </w:r>
      <w:proofErr w:type="spellEnd"/>
      <w:r w:rsidRPr="00C545E9">
        <w:rPr>
          <w:rFonts w:ascii="Times New Roman" w:hAnsi="Times New Roman" w:cs="Times New Roman"/>
          <w:sz w:val="28"/>
          <w:szCs w:val="28"/>
        </w:rPr>
        <w:t xml:space="preserve"> Е. И. Место религиозной компоненты во внешней политике Саудовской Аравии // Известия Саратовского университета. Новая серия. Серия: Социология. Политология. </w:t>
      </w:r>
      <w:r w:rsidR="00F27686">
        <w:rPr>
          <w:rFonts w:ascii="Times New Roman" w:hAnsi="Times New Roman" w:cs="Times New Roman"/>
          <w:sz w:val="28"/>
          <w:szCs w:val="28"/>
        </w:rPr>
        <w:t xml:space="preserve">– </w:t>
      </w:r>
      <w:r w:rsidRPr="00C545E9">
        <w:rPr>
          <w:rFonts w:ascii="Times New Roman" w:hAnsi="Times New Roman" w:cs="Times New Roman"/>
          <w:sz w:val="28"/>
          <w:szCs w:val="28"/>
        </w:rPr>
        <w:t xml:space="preserve"> 2020. </w:t>
      </w:r>
      <w:r w:rsidR="00F27686">
        <w:rPr>
          <w:rFonts w:ascii="Times New Roman" w:hAnsi="Times New Roman" w:cs="Times New Roman"/>
          <w:sz w:val="28"/>
          <w:szCs w:val="28"/>
        </w:rPr>
        <w:t xml:space="preserve">– </w:t>
      </w:r>
      <w:r w:rsidRPr="00C545E9">
        <w:rPr>
          <w:rFonts w:ascii="Times New Roman" w:hAnsi="Times New Roman" w:cs="Times New Roman"/>
          <w:sz w:val="28"/>
          <w:szCs w:val="28"/>
        </w:rPr>
        <w:t xml:space="preserve"> Т. 20, № 2. </w:t>
      </w:r>
      <w:r w:rsidR="00F27686">
        <w:rPr>
          <w:rFonts w:ascii="Times New Roman" w:hAnsi="Times New Roman" w:cs="Times New Roman"/>
          <w:sz w:val="28"/>
          <w:szCs w:val="28"/>
        </w:rPr>
        <w:t xml:space="preserve">– </w:t>
      </w:r>
      <w:r w:rsidRPr="00C545E9">
        <w:rPr>
          <w:rFonts w:ascii="Times New Roman" w:hAnsi="Times New Roman" w:cs="Times New Roman"/>
          <w:sz w:val="28"/>
          <w:szCs w:val="28"/>
        </w:rPr>
        <w:t xml:space="preserve">С. </w:t>
      </w:r>
      <w:proofErr w:type="gramStart"/>
      <w:r w:rsidRPr="00C545E9">
        <w:rPr>
          <w:rFonts w:ascii="Times New Roman" w:hAnsi="Times New Roman" w:cs="Times New Roman"/>
          <w:sz w:val="28"/>
          <w:szCs w:val="28"/>
        </w:rPr>
        <w:t>167</w:t>
      </w:r>
      <w:r w:rsidR="00F27686">
        <w:rPr>
          <w:rFonts w:ascii="Times New Roman" w:hAnsi="Times New Roman" w:cs="Times New Roman"/>
          <w:sz w:val="28"/>
          <w:szCs w:val="28"/>
        </w:rPr>
        <w:t>-</w:t>
      </w:r>
      <w:r w:rsidRPr="00C545E9">
        <w:rPr>
          <w:rFonts w:ascii="Times New Roman" w:hAnsi="Times New Roman" w:cs="Times New Roman"/>
          <w:sz w:val="28"/>
          <w:szCs w:val="28"/>
        </w:rPr>
        <w:t>174</w:t>
      </w:r>
      <w:proofErr w:type="gramEnd"/>
      <w:r w:rsidRPr="00C545E9">
        <w:rPr>
          <w:rFonts w:ascii="Times New Roman" w:hAnsi="Times New Roman" w:cs="Times New Roman"/>
          <w:sz w:val="28"/>
          <w:szCs w:val="28"/>
        </w:rPr>
        <w:t>.</w:t>
      </w:r>
    </w:p>
    <w:p w14:paraId="58BF79B4" w14:textId="6101E579" w:rsidR="00E141A4" w:rsidRPr="0036652F" w:rsidRDefault="00C01C05" w:rsidP="0036652F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01C05">
        <w:rPr>
          <w:rFonts w:ascii="Times New Roman" w:hAnsi="Times New Roman" w:cs="Times New Roman"/>
          <w:sz w:val="28"/>
          <w:szCs w:val="28"/>
        </w:rPr>
        <w:t>Рыжов</w:t>
      </w:r>
      <w:r w:rsidR="00A5767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01C05">
        <w:rPr>
          <w:rFonts w:ascii="Times New Roman" w:hAnsi="Times New Roman" w:cs="Times New Roman"/>
          <w:sz w:val="28"/>
          <w:szCs w:val="28"/>
        </w:rPr>
        <w:t>И.В.</w:t>
      </w:r>
      <w:proofErr w:type="gramEnd"/>
      <w:r w:rsidR="00A57670">
        <w:rPr>
          <w:rFonts w:ascii="Times New Roman" w:hAnsi="Times New Roman" w:cs="Times New Roman"/>
          <w:sz w:val="28"/>
          <w:szCs w:val="28"/>
        </w:rPr>
        <w:t xml:space="preserve">, Бородина </w:t>
      </w:r>
      <w:proofErr w:type="gramStart"/>
      <w:r w:rsidR="00A57670">
        <w:rPr>
          <w:rFonts w:ascii="Times New Roman" w:hAnsi="Times New Roman" w:cs="Times New Roman"/>
          <w:sz w:val="28"/>
          <w:szCs w:val="28"/>
        </w:rPr>
        <w:t>М.Ю.</w:t>
      </w:r>
      <w:proofErr w:type="gramEnd"/>
      <w:r w:rsidR="00A57670">
        <w:rPr>
          <w:rFonts w:ascii="Times New Roman" w:hAnsi="Times New Roman" w:cs="Times New Roman"/>
          <w:sz w:val="28"/>
          <w:szCs w:val="28"/>
        </w:rPr>
        <w:t xml:space="preserve">, Дорофеев </w:t>
      </w:r>
      <w:proofErr w:type="gramStart"/>
      <w:r w:rsidR="00A57670">
        <w:rPr>
          <w:rFonts w:ascii="Times New Roman" w:hAnsi="Times New Roman" w:cs="Times New Roman"/>
          <w:sz w:val="28"/>
          <w:szCs w:val="28"/>
        </w:rPr>
        <w:t>Ф.А</w:t>
      </w:r>
      <w:r w:rsidR="00E141A4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C01C05">
        <w:rPr>
          <w:rFonts w:ascii="Times New Roman" w:hAnsi="Times New Roman" w:cs="Times New Roman"/>
          <w:sz w:val="28"/>
          <w:szCs w:val="28"/>
        </w:rPr>
        <w:t xml:space="preserve"> Суннитско-шиитское противостояние. Иран и Саудовская Аравия в борьбе за региональное лидерство // Свободная мысль. – 2019. – № 1(1673). – С. </w:t>
      </w:r>
      <w:proofErr w:type="gramStart"/>
      <w:r w:rsidRPr="00C01C05">
        <w:rPr>
          <w:rFonts w:ascii="Times New Roman" w:hAnsi="Times New Roman" w:cs="Times New Roman"/>
          <w:sz w:val="28"/>
          <w:szCs w:val="28"/>
        </w:rPr>
        <w:t>169-180</w:t>
      </w:r>
      <w:proofErr w:type="gramEnd"/>
      <w:r w:rsidRPr="00C01C05">
        <w:rPr>
          <w:rFonts w:ascii="Times New Roman" w:hAnsi="Times New Roman" w:cs="Times New Roman"/>
          <w:sz w:val="28"/>
          <w:szCs w:val="28"/>
        </w:rPr>
        <w:t>.</w:t>
      </w:r>
    </w:p>
    <w:sectPr w:rsidR="00E141A4" w:rsidRPr="003665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21340"/>
    <w:multiLevelType w:val="hybridMultilevel"/>
    <w:tmpl w:val="8910C8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5202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69D"/>
    <w:rsid w:val="0003440E"/>
    <w:rsid w:val="000A5C7B"/>
    <w:rsid w:val="002D652B"/>
    <w:rsid w:val="0036652F"/>
    <w:rsid w:val="00444A4F"/>
    <w:rsid w:val="00492D1D"/>
    <w:rsid w:val="0049588B"/>
    <w:rsid w:val="006912C0"/>
    <w:rsid w:val="006C5E7E"/>
    <w:rsid w:val="007805C6"/>
    <w:rsid w:val="00A0503A"/>
    <w:rsid w:val="00A57670"/>
    <w:rsid w:val="00A72A00"/>
    <w:rsid w:val="00A83908"/>
    <w:rsid w:val="00B330F7"/>
    <w:rsid w:val="00B7340B"/>
    <w:rsid w:val="00C01C05"/>
    <w:rsid w:val="00C05D3A"/>
    <w:rsid w:val="00C545E9"/>
    <w:rsid w:val="00DA5FFC"/>
    <w:rsid w:val="00E0169D"/>
    <w:rsid w:val="00E141A4"/>
    <w:rsid w:val="00E5055A"/>
    <w:rsid w:val="00EE3763"/>
    <w:rsid w:val="00F0448D"/>
    <w:rsid w:val="00F27686"/>
    <w:rsid w:val="00F75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6FE21"/>
  <w15:chartTrackingRefBased/>
  <w15:docId w15:val="{10DBB5C2-4831-404E-AA94-4ABF15A1F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016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16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16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16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16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16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16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16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16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16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016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016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0169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0169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0169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0169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0169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016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016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016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16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016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016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0169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0169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0169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016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0169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016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1267</Words>
  <Characters>7224</Characters>
  <Application>Microsoft Office Word</Application>
  <DocSecurity>0</DocSecurity>
  <Lines>60</Lines>
  <Paragraphs>16</Paragraphs>
  <ScaleCrop>false</ScaleCrop>
  <Company/>
  <LinksUpToDate>false</LinksUpToDate>
  <CharactersWithSpaces>8475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Олька В</dc:creator>
  <cp:keywords/>
  <dc:description/>
  <cp:lastModifiedBy>Олька В</cp:lastModifiedBy>
  <cp:revision>16</cp:revision>
  <dcterms:created xsi:type="dcterms:W3CDTF">2025-11-13T21:53:00Z</dcterms:created>
  <dcterms:modified xsi:type="dcterms:W3CDTF">2025-11-14T14:12:00Z</dcterms:modified>
</cp:coreProperties>
</file>