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0EF0"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Введение</w:t>
      </w:r>
    </w:p>
    <w:p w14:paraId="6FD4FB8E" w14:textId="77777777" w:rsidR="00A04D38" w:rsidRPr="00A04D38"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t>Территориальный спор России и Японии вокруг южной части Курильской гряды — один из самых длительных и институционально «вязких» конфликтов в Северо-Восточной Азии. Отсутствие мирного договора после Второй мировой войны не только символизирует незавершённость послевоенного урегулирования, но и фактически ограничивает глубину двусторонней кооперации: почти любая попытка расширить взаимодействие упирается в правовые интерпретации статуса четырёх островов и чувствительность военных параметров на Дальнем Востоке. Для Японии тема встроена во внутреннюю повестку идентичности и союзнических обязательств; для России — в контур итогов Второй мировой войны и устойчивости её тихоокеанского фланга. Объектом анализа является спор о статусе Итурупа, Кунашира, Шикотана и Хабомаи; предметом — эволюция правовых позиций, интересов безопасности и попыток урегулирования с учётом влияния третьих сторон. Цель — на основе историко-правового и ситуационного анализа выявить устойчивые узлы противоречий и оценить реалистичные сценарии, не сводя проблему к «нулевой сумме» и допуская ограниченную кооперацию без изменения суверенитета. Актуальность темы определяется высокой стратегической ценностью района, эффектом пролонгации конфликта и изменчивой международной средой, усложняющей даже «малые» соглашения.</w:t>
      </w:r>
    </w:p>
    <w:p w14:paraId="58C365DA"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Историческая эволюция вопроса</w:t>
      </w:r>
    </w:p>
    <w:p w14:paraId="5B27525B" w14:textId="77777777" w:rsidR="00A04D38" w:rsidRPr="00A04D38"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t xml:space="preserve">Хронологически спор восходит к середине XIX века. Симодский договор 1855 года установил границу между Итурупом и Урупом и положил начало договорному оформлению отношений. Петербургский договор 1875 года закрепил передачу всех Курильских островов Японии в обмен на признание за Россией всего Сахалина, а Портсмутский мир 1905 года отдал Японии южный Сахалин. После 1945 года СССР занял Курилы и южный Сахалин; в Сан-Францисском мирном договоре 1951 года Япония отказалась «от всех прав, правооснований и претензий на Курильские острова и южную часть Сахалина», однако получатель суверенитета не был назван, а СССР документ не подписал. Совместная декларация СССР и Японии 1956 года восстановила дипломатические отношения и допустила возможность передачи Японии Хабомаи и Шикотана после заключения мирного договора; впоследствии внешнеполитическая обстановка и вопросы безопасности препятствовали практической реализации этой формулы. В конце холодной войны и в 1990-е годы появились гуманитарные режимы посещения бывших жителей и новые политические декларации, однако «большой» прорыв так и не был достигнут. </w:t>
      </w:r>
      <w:r w:rsidRPr="00A04D38">
        <w:rPr>
          <w:rFonts w:ascii="Times New Roman" w:hAnsi="Times New Roman" w:cs="Times New Roman"/>
          <w:sz w:val="28"/>
          <w:szCs w:val="28"/>
        </w:rPr>
        <w:lastRenderedPageBreak/>
        <w:t>В 2010-е годы на волне политического диалога лидеров был сделан акцент на «совместной хозяйственной деятельности», но узлы безопасности и права сохранились. К началу 2020-х переговорный процесс вновь сузился до обмена установочными заявлениями.</w:t>
      </w:r>
    </w:p>
    <w:p w14:paraId="0E8F580F"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Позиции сторон</w:t>
      </w:r>
    </w:p>
    <w:p w14:paraId="2C31F99D" w14:textId="77777777" w:rsidR="00A04D38" w:rsidRPr="00A04D38"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t>Современная российская позиция исходит из итогов Второй мировой войны, факта эффективного суверенитета и принципиальной закрытости вопроса о принадлежности южных Курил. Москва подчёркивает отсутствие территориальных споров, готовность к гуманитарным и хозяйственным режимам и открытость к мирному договору при условии благоприятного политического фона и уважения «послевоенного порядка». Японская позиция опирается на концепт «Северных территорий», трактует четыре острова как не входящие в понятие «Курильские острова» в контексте отказа 1951 года и исходит из необходимости заключить мирный договор, решив «территориальную проблему». Линейка двусторонних документов после войны — от Токийской декларации 1993 года до совместных заявлений 2010-х — используется в Токио как доказательство продолжающегося переговорного процесса, хотя юридическая определённость конечной формулы остаётся предметом спора.</w:t>
      </w:r>
    </w:p>
    <w:p w14:paraId="1441BE6D"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Правовые узлы и интерпретации</w:t>
      </w:r>
    </w:p>
    <w:p w14:paraId="39330C87" w14:textId="77777777" w:rsidR="00A04D38" w:rsidRPr="00A04D38"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t>Долговечность конфликта во многом объясняется коллизиями в терминологии и иерархии актов. Во-первых, существует расхождение в трактовке термина «Курильские острова» и вопрос, охватывает ли он четыре южных острова. Во-вторых, спор идёт о соотношении многостороннего Сан-Францисского договора 1951 года и двусторонней Декларации 1956 года. Япония настаивает, что речь идёт о «Северных территориях» как об особом объекте, не подпавшем под отказ 1951 года, и связывает мирный договор с решением этого вопроса. Россия утверждает, что южные Курилы — её неотъемлемая часть; Декларация 1956 года интерпретируется как политическая возможность в составе пакета, жёстко увязанного с мирным договором и параметрами безопасности. Дополнительная сложность — «язык соглашений»: даже при готовности к совместным проектам стороны избегают формулировок, которые могут быть прочитаны как имплицитное признание чужой правовой позиции, что тормозит оформление даже технических договорённостей.</w:t>
      </w:r>
    </w:p>
    <w:p w14:paraId="767461F8"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Материальные интересы и безопасность</w:t>
      </w:r>
    </w:p>
    <w:p w14:paraId="69DF5982" w14:textId="77777777" w:rsidR="00A04D38" w:rsidRPr="00A04D38"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lastRenderedPageBreak/>
        <w:t>Регион имеет высокую военно-стратегическую и экономическую значимость. Для России ключевыми являются контроль проливов, обеспечивающих выход из Охотского моря в Тихий океан и защиту инфраструктуры Тихоокеанского флота, а также защита районов базирования стратегических сил. Для обеих сторон важны морские биоресурсы и 200-мильные рыболовные зоны, потенциал минерально-сырьевой базы и геотермальная энергия, возможности логистики и судоходства. Богатство ресурсов и география усиливают ставки, но не подменяют правово-политическую основу: экономические формулы требуют нейтральной юридической архитектуры и гарантий безопасности, без чего остаются хрупкими.</w:t>
      </w:r>
    </w:p>
    <w:p w14:paraId="3879B827"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Попытки урегулирования и поворотные точки переговоров</w:t>
      </w:r>
    </w:p>
    <w:p w14:paraId="309A8789" w14:textId="77777777" w:rsidR="00A04D38" w:rsidRPr="00A04D38"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t>После 1951–1956 годов переговорная логика многократно сталкивалась с логикой блоковой безопасности. Увязка темы с союзническими обязательствами Японии, присутствием американских баз и региональной военно-политической конфигурацией сужала манёвр для реализации «формулы 1956 года». В 1990-е годы стороны подтвердили намерение заключить мирный договор, но ограничились гуманитарными и техническими режимами. В 2016–2019 годах был предложен «новый подход», сочетающий экономические проекты и диалог по миру «на основе Декларации 1956 года»; в итоге узлы безопасности и права вновь оказались непреодолимыми. В 2020-е годы санкционный контекст и ухудшение политического климата свели общую повестку к точечным вопросам практического взаимодействия.</w:t>
      </w:r>
    </w:p>
    <w:p w14:paraId="334E64AB"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Современная динамика и публичные заявления</w:t>
      </w:r>
    </w:p>
    <w:p w14:paraId="6178BC0D" w14:textId="77777777" w:rsidR="00A04D38" w:rsidRPr="00A04D38"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t xml:space="preserve">С 2022 года дискурс ужесточился по обе стороны. Япония официально закрепила формулу о «незаконной оккупации» и регулярно называет позицию Москвы «несправедливой и неприемлемой», подчёркивая, что именно неурегулированность территориального вопроса обусловливает необходимость мирного договора. Россия отвечает, что никаких территориальных споров у неё нет, вопрос суверенитета закрыт, а переговоры по миру заморожены из-за «недружественной линии» Токио и санкционных ограничений. На этом фоне возникают редкие политические сигналы о готовности к перезапуску: новый японский премьер заявила о намерении решить территориальную проблему и заключить мирный договор, однако Москва фиксирует почти полное свёртывание диалога и первичность изменения общего политического контекста. Практическим результатом становится режим «управляемого несогласия»: точечные договорённости по </w:t>
      </w:r>
      <w:r w:rsidRPr="00A04D38">
        <w:rPr>
          <w:rFonts w:ascii="Times New Roman" w:hAnsi="Times New Roman" w:cs="Times New Roman"/>
          <w:sz w:val="28"/>
          <w:szCs w:val="28"/>
        </w:rPr>
        <w:lastRenderedPageBreak/>
        <w:t>рыболовству и гуманитарным контактам возможны, но не перерастают в политико-правовой трек.</w:t>
      </w:r>
    </w:p>
    <w:p w14:paraId="6FD326F2"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Роль третьих сторон: фокус на Китае</w:t>
      </w:r>
    </w:p>
    <w:p w14:paraId="128A0528" w14:textId="77777777" w:rsidR="00A04D38" w:rsidRPr="00A04D38"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t>КНР не является участником спора, но её линия влияет на региональный баланс. Исторически риторика колебалась от эпизодической моральной поддержки японских претензий в период раскола с СССР до современного сдержанного нейтралитета при декларативной поддержке «послевоенного порядка» и принципа уважения суверенитета и территориальной целостности. Официальная формула Пекина сводится к тому, что вопрос должен решаться Москвой и Токио путём консультаций. На практике это снижает вероятность внешнего давления в пользу максималистской линии Японии и повышает шансы на форматы ограниченной кооперации без изменения суверенитета, если на то будет политическая воля сторон.</w:t>
      </w:r>
    </w:p>
    <w:p w14:paraId="53F49118"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Сценарии и окна возможностей</w:t>
      </w:r>
    </w:p>
    <w:p w14:paraId="686F1D15" w14:textId="77777777" w:rsidR="00A04D38" w:rsidRPr="00A04D38"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t>Реалистичный краткосрочный сценарий — сохранение статус-кво при управлении рисками: поддержание эффективного контроля России, минимальные гуманитарные и хозяйственные режимы, предотвращение инцидентов в море и экологическое взаимодействие. Максималистский сценарий в пользу одной из сторон в текущей политической конфигурации представляется маловероятным из-за высоких издержек безопасности и внутриполитической цены. Компромисс «по образцу 1956 года» теоретически опирается на исторический документ, но упирается в условия безопасности и контекст союзничества Японии. Сценарий «совместной управляемой зоны» требует тонкой юридической архитектуры нейтральных формулировок, прозрачных правил доступа к ресурсам, экологических гарантий и механизмов разрешения споров; чаще всего он начинается с «малых дел» и масштабируется по мере накопления доверия. В любом варианте окно возможностей шире всего в составе «большого пакета», когда параллельно смягчаются барьеры в смежных режимах — от финансовых расчётов и экспорта технологий до контактов силовых и пограничных ведомств.</w:t>
      </w:r>
    </w:p>
    <w:p w14:paraId="09BBA6E4" w14:textId="77777777" w:rsidR="00A04D38" w:rsidRPr="00A04D38" w:rsidRDefault="00A04D38" w:rsidP="00A04D38">
      <w:pPr>
        <w:jc w:val="both"/>
        <w:rPr>
          <w:rFonts w:ascii="Times New Roman" w:hAnsi="Times New Roman" w:cs="Times New Roman"/>
          <w:b/>
          <w:bCs/>
          <w:sz w:val="28"/>
          <w:szCs w:val="28"/>
        </w:rPr>
      </w:pPr>
      <w:r w:rsidRPr="00A04D38">
        <w:rPr>
          <w:rFonts w:ascii="Times New Roman" w:hAnsi="Times New Roman" w:cs="Times New Roman"/>
          <w:b/>
          <w:bCs/>
          <w:sz w:val="28"/>
          <w:szCs w:val="28"/>
        </w:rPr>
        <w:t>Выводы и вопросы для дискуссии</w:t>
      </w:r>
    </w:p>
    <w:p w14:paraId="574B0E9B" w14:textId="056A4613" w:rsidR="007805C6" w:rsidRDefault="00A04D38" w:rsidP="00A04D38">
      <w:pPr>
        <w:jc w:val="both"/>
        <w:rPr>
          <w:rFonts w:ascii="Times New Roman" w:hAnsi="Times New Roman" w:cs="Times New Roman"/>
          <w:sz w:val="28"/>
          <w:szCs w:val="28"/>
        </w:rPr>
      </w:pPr>
      <w:r w:rsidRPr="00A04D38">
        <w:rPr>
          <w:rFonts w:ascii="Times New Roman" w:hAnsi="Times New Roman" w:cs="Times New Roman"/>
          <w:sz w:val="28"/>
          <w:szCs w:val="28"/>
        </w:rPr>
        <w:t xml:space="preserve">Спор держится на сочетании историко-правовых коллизий и актуальных интересов безопасности. Для России опорами выступают итоги Второй мировой войны и фактический суверенитет; для Японии — концепт «Северных территорий» и стремление завершить послевоенное урегулирование через мирный договор. Материальные факторы усиливают </w:t>
      </w:r>
      <w:r w:rsidRPr="00A04D38">
        <w:rPr>
          <w:rFonts w:ascii="Times New Roman" w:hAnsi="Times New Roman" w:cs="Times New Roman"/>
          <w:sz w:val="28"/>
          <w:szCs w:val="28"/>
        </w:rPr>
        <w:lastRenderedPageBreak/>
        <w:t>ставки, но не заменяют правовые и военно-политические рамки. История переговоров демонстрирует повторяющийся паттерн: «окна возможностей» позволяют двигаться в гуманитарных и хозяйственных темах, но «большая сделка» срывается на безопасности и языке договоров. В ближайшей перспективе наиболее вероятен режим управляемого несогласия с расширением узких режимов кооперации и нейтральным юридическим словарём; более глубокий прорыв возможен только как часть многофакторного пакета. Для семинара уместно обсудить, какой минимальный стартовый набор шагов мог бы перезапустить политический трек, насколько выполнима сегодня формула 1956 года при текущей военной конфигурации и можно ли выстроить устойчивую совместную хозяйственную деятельность без ущерба для базовых правовых позиций сторон и без ухудшения баланса безопасности.</w:t>
      </w:r>
    </w:p>
    <w:p w14:paraId="63DE21CB" w14:textId="77777777" w:rsidR="00A04D38" w:rsidRDefault="00A04D38" w:rsidP="00A04D38">
      <w:pPr>
        <w:jc w:val="both"/>
        <w:rPr>
          <w:rFonts w:ascii="Times New Roman" w:hAnsi="Times New Roman" w:cs="Times New Roman"/>
          <w:sz w:val="28"/>
          <w:szCs w:val="28"/>
        </w:rPr>
      </w:pPr>
    </w:p>
    <w:p w14:paraId="711435AA" w14:textId="29B515CF" w:rsidR="00A04D38" w:rsidRDefault="00A04D38" w:rsidP="00A04D38">
      <w:pPr>
        <w:jc w:val="center"/>
        <w:rPr>
          <w:rFonts w:ascii="Times New Roman" w:hAnsi="Times New Roman" w:cs="Times New Roman"/>
          <w:sz w:val="28"/>
          <w:szCs w:val="28"/>
        </w:rPr>
      </w:pPr>
      <w:r>
        <w:rPr>
          <w:rFonts w:ascii="Times New Roman" w:hAnsi="Times New Roman" w:cs="Times New Roman"/>
          <w:sz w:val="28"/>
          <w:szCs w:val="28"/>
        </w:rPr>
        <w:t>Литература:</w:t>
      </w:r>
    </w:p>
    <w:p w14:paraId="173FB763" w14:textId="579D9A43" w:rsidR="00A04D38" w:rsidRPr="00783B24" w:rsidRDefault="00783B24" w:rsidP="00783B24">
      <w:pPr>
        <w:pStyle w:val="a7"/>
        <w:numPr>
          <w:ilvl w:val="0"/>
          <w:numId w:val="1"/>
        </w:numPr>
        <w:rPr>
          <w:rFonts w:ascii="Times New Roman" w:hAnsi="Times New Roman" w:cs="Times New Roman"/>
          <w:sz w:val="28"/>
          <w:szCs w:val="28"/>
        </w:rPr>
      </w:pPr>
      <w:r w:rsidRPr="00783B24">
        <w:rPr>
          <w:rFonts w:ascii="Times New Roman" w:hAnsi="Times New Roman" w:cs="Times New Roman"/>
          <w:sz w:val="28"/>
          <w:szCs w:val="28"/>
        </w:rPr>
        <w:t>"В Москве будут только рады". Первая женщина-премьер Японии хочет мирного договора с Россией // газета.ru URL: https://www.gazeta.ru/politics/2025/10/24/21911324.shtml?utm_source=chatgpt.com (дата обращения: 24.10.2025).</w:t>
      </w:r>
    </w:p>
    <w:p w14:paraId="3041B016" w14:textId="266360C3" w:rsidR="00783B24" w:rsidRDefault="00C84B60" w:rsidP="00783B24">
      <w:pPr>
        <w:pStyle w:val="a7"/>
        <w:numPr>
          <w:ilvl w:val="0"/>
          <w:numId w:val="1"/>
        </w:numPr>
        <w:rPr>
          <w:rFonts w:ascii="Times New Roman" w:hAnsi="Times New Roman" w:cs="Times New Roman"/>
          <w:sz w:val="28"/>
          <w:szCs w:val="28"/>
        </w:rPr>
      </w:pPr>
      <w:proofErr w:type="spellStart"/>
      <w:r w:rsidRPr="00C84B60">
        <w:rPr>
          <w:rFonts w:ascii="Times New Roman" w:hAnsi="Times New Roman" w:cs="Times New Roman"/>
          <w:sz w:val="28"/>
          <w:szCs w:val="28"/>
        </w:rPr>
        <w:t>Несмиянов</w:t>
      </w:r>
      <w:proofErr w:type="spellEnd"/>
      <w:r w:rsidRPr="00C84B60">
        <w:rPr>
          <w:rFonts w:ascii="Times New Roman" w:hAnsi="Times New Roman" w:cs="Times New Roman"/>
          <w:sz w:val="28"/>
          <w:szCs w:val="28"/>
        </w:rPr>
        <w:t xml:space="preserve"> В.О. К вопросу территориальной принадлежности Курильских островов // Гуманитарные проблемы военного дела. - 2020. - №2 (23). - С. </w:t>
      </w:r>
      <w:proofErr w:type="gramStart"/>
      <w:r w:rsidRPr="00C84B60">
        <w:rPr>
          <w:rFonts w:ascii="Times New Roman" w:hAnsi="Times New Roman" w:cs="Times New Roman"/>
          <w:sz w:val="28"/>
          <w:szCs w:val="28"/>
        </w:rPr>
        <w:t>45-49</w:t>
      </w:r>
      <w:proofErr w:type="gramEnd"/>
      <w:r w:rsidRPr="00C84B60">
        <w:rPr>
          <w:rFonts w:ascii="Times New Roman" w:hAnsi="Times New Roman" w:cs="Times New Roman"/>
          <w:sz w:val="28"/>
          <w:szCs w:val="28"/>
        </w:rPr>
        <w:t>.</w:t>
      </w:r>
    </w:p>
    <w:p w14:paraId="70A32E15" w14:textId="321E198D" w:rsidR="00C84B60" w:rsidRDefault="00160F84" w:rsidP="00783B24">
      <w:pPr>
        <w:pStyle w:val="a7"/>
        <w:numPr>
          <w:ilvl w:val="0"/>
          <w:numId w:val="1"/>
        </w:numPr>
        <w:rPr>
          <w:rFonts w:ascii="Times New Roman" w:hAnsi="Times New Roman" w:cs="Times New Roman"/>
          <w:sz w:val="28"/>
          <w:szCs w:val="28"/>
        </w:rPr>
      </w:pPr>
      <w:r w:rsidRPr="00160F84">
        <w:rPr>
          <w:rFonts w:ascii="Times New Roman" w:hAnsi="Times New Roman" w:cs="Times New Roman"/>
          <w:sz w:val="28"/>
          <w:szCs w:val="28"/>
        </w:rPr>
        <w:t xml:space="preserve">Перов </w:t>
      </w:r>
      <w:proofErr w:type="gramStart"/>
      <w:r w:rsidRPr="00160F84">
        <w:rPr>
          <w:rFonts w:ascii="Times New Roman" w:hAnsi="Times New Roman" w:cs="Times New Roman"/>
          <w:sz w:val="28"/>
          <w:szCs w:val="28"/>
        </w:rPr>
        <w:t>А.А.</w:t>
      </w:r>
      <w:proofErr w:type="gramEnd"/>
      <w:r w:rsidRPr="00160F84">
        <w:rPr>
          <w:rFonts w:ascii="Times New Roman" w:hAnsi="Times New Roman" w:cs="Times New Roman"/>
          <w:sz w:val="28"/>
          <w:szCs w:val="28"/>
        </w:rPr>
        <w:t xml:space="preserve"> Позиция Китая в отношении российско-японской территориальной проблемы // Современные востоковедческие исследования. - 2021. - №3 (1). - С. </w:t>
      </w:r>
      <w:proofErr w:type="gramStart"/>
      <w:r w:rsidRPr="00160F84">
        <w:rPr>
          <w:rFonts w:ascii="Times New Roman" w:hAnsi="Times New Roman" w:cs="Times New Roman"/>
          <w:sz w:val="28"/>
          <w:szCs w:val="28"/>
        </w:rPr>
        <w:t>120-131</w:t>
      </w:r>
      <w:proofErr w:type="gramEnd"/>
      <w:r w:rsidRPr="00160F84">
        <w:rPr>
          <w:rFonts w:ascii="Times New Roman" w:hAnsi="Times New Roman" w:cs="Times New Roman"/>
          <w:sz w:val="28"/>
          <w:szCs w:val="28"/>
        </w:rPr>
        <w:t>.</w:t>
      </w:r>
    </w:p>
    <w:p w14:paraId="53C8FEE7" w14:textId="39F59D57" w:rsidR="00160F84" w:rsidRDefault="00EF1DE3" w:rsidP="00783B24">
      <w:pPr>
        <w:pStyle w:val="a7"/>
        <w:numPr>
          <w:ilvl w:val="0"/>
          <w:numId w:val="1"/>
        </w:numPr>
        <w:rPr>
          <w:rFonts w:ascii="Times New Roman" w:hAnsi="Times New Roman" w:cs="Times New Roman"/>
          <w:sz w:val="28"/>
          <w:szCs w:val="28"/>
        </w:rPr>
      </w:pPr>
      <w:r w:rsidRPr="00EF1DE3">
        <w:rPr>
          <w:rFonts w:ascii="Times New Roman" w:hAnsi="Times New Roman" w:cs="Times New Roman"/>
          <w:sz w:val="28"/>
          <w:szCs w:val="28"/>
        </w:rPr>
        <w:t>Мусаева С</w:t>
      </w:r>
      <w:r>
        <w:rPr>
          <w:rFonts w:ascii="Times New Roman" w:hAnsi="Times New Roman" w:cs="Times New Roman"/>
          <w:sz w:val="28"/>
          <w:szCs w:val="28"/>
        </w:rPr>
        <w:t>.</w:t>
      </w:r>
      <w:r w:rsidRPr="00EF1DE3">
        <w:rPr>
          <w:rFonts w:ascii="Times New Roman" w:hAnsi="Times New Roman" w:cs="Times New Roman"/>
          <w:sz w:val="28"/>
          <w:szCs w:val="28"/>
        </w:rPr>
        <w:t xml:space="preserve"> И</w:t>
      </w:r>
      <w:r>
        <w:rPr>
          <w:rFonts w:ascii="Times New Roman" w:hAnsi="Times New Roman" w:cs="Times New Roman"/>
          <w:sz w:val="28"/>
          <w:szCs w:val="28"/>
        </w:rPr>
        <w:t>.</w:t>
      </w:r>
      <w:r w:rsidRPr="00EF1DE3">
        <w:rPr>
          <w:rFonts w:ascii="Times New Roman" w:hAnsi="Times New Roman" w:cs="Times New Roman"/>
          <w:sz w:val="28"/>
          <w:szCs w:val="28"/>
        </w:rPr>
        <w:t>, Асланова Н</w:t>
      </w:r>
      <w:r>
        <w:rPr>
          <w:rFonts w:ascii="Times New Roman" w:hAnsi="Times New Roman" w:cs="Times New Roman"/>
          <w:sz w:val="28"/>
          <w:szCs w:val="28"/>
        </w:rPr>
        <w:t>.</w:t>
      </w:r>
      <w:r w:rsidRPr="00EF1DE3">
        <w:rPr>
          <w:rFonts w:ascii="Times New Roman" w:hAnsi="Times New Roman" w:cs="Times New Roman"/>
          <w:sz w:val="28"/>
          <w:szCs w:val="28"/>
        </w:rPr>
        <w:t xml:space="preserve"> Проблема курильских островов в российско-японских отношениях: к истории проблемы // Современная научная мысль. 2022. №5. URL: https://cyberleninka.ru/article/n/problema-kurilskih-ostrovov-v-rossiysko-yaponskih-otnosheniyah-k-istorii-problemy (дата обращения: 24.10.2025).</w:t>
      </w:r>
    </w:p>
    <w:p w14:paraId="412AB8E5" w14:textId="3A8605EB" w:rsidR="007A75FC" w:rsidRDefault="00C55C98" w:rsidP="00783B24">
      <w:pPr>
        <w:pStyle w:val="a7"/>
        <w:numPr>
          <w:ilvl w:val="0"/>
          <w:numId w:val="1"/>
        </w:numPr>
        <w:rPr>
          <w:rFonts w:ascii="Times New Roman" w:hAnsi="Times New Roman" w:cs="Times New Roman"/>
          <w:sz w:val="28"/>
          <w:szCs w:val="28"/>
        </w:rPr>
      </w:pPr>
      <w:r w:rsidRPr="00C55C98">
        <w:rPr>
          <w:rFonts w:ascii="Times New Roman" w:hAnsi="Times New Roman" w:cs="Times New Roman"/>
          <w:sz w:val="28"/>
          <w:szCs w:val="28"/>
        </w:rPr>
        <w:t>"Вопросы суверенитета над островами не обсуждаются. Это территория Российской Федерации". Япония и российские Курилы: история проблемы. // Военно-исторический журнал URL: https://history.milportal.ru/voprosy-suvereniteta-nad-ostrovami-ne-obsuzhdayutsya-eto-territoriya-rossijskoj-federacii-yaponiya-i-rossijskie-kurily-istoriya-problemy/?print=print&amp;utm_source=chatgpt.com (дата обращения: 24.10.2025).</w:t>
      </w:r>
    </w:p>
    <w:p w14:paraId="4781D75B" w14:textId="6C1E10D9" w:rsidR="00D55E3A" w:rsidRPr="000857C8" w:rsidRDefault="00D66F57" w:rsidP="00D55E3A">
      <w:pPr>
        <w:pStyle w:val="a7"/>
        <w:numPr>
          <w:ilvl w:val="0"/>
          <w:numId w:val="1"/>
        </w:numPr>
        <w:rPr>
          <w:rFonts w:ascii="Times New Roman" w:hAnsi="Times New Roman" w:cs="Times New Roman"/>
          <w:sz w:val="28"/>
          <w:szCs w:val="28"/>
        </w:rPr>
      </w:pPr>
      <w:r w:rsidRPr="00D66F57">
        <w:rPr>
          <w:rFonts w:ascii="Times New Roman" w:hAnsi="Times New Roman" w:cs="Times New Roman"/>
          <w:sz w:val="28"/>
          <w:szCs w:val="28"/>
        </w:rPr>
        <w:lastRenderedPageBreak/>
        <w:t>В Японии назвали позицию России по спору о Курилах несправедливой // Радио РБК URL: https://www.rbc.ru/rbcfreenews/65812cad9a794790440839f1 (дата обращения: 24.10.2025).</w:t>
      </w:r>
    </w:p>
    <w:sectPr w:rsidR="00D55E3A" w:rsidRPr="000857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9699B"/>
    <w:multiLevelType w:val="hybridMultilevel"/>
    <w:tmpl w:val="0AEEAF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69140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96"/>
    <w:rsid w:val="000236BE"/>
    <w:rsid w:val="000857C8"/>
    <w:rsid w:val="00160F84"/>
    <w:rsid w:val="002D652B"/>
    <w:rsid w:val="00444A4F"/>
    <w:rsid w:val="0049588B"/>
    <w:rsid w:val="004A3619"/>
    <w:rsid w:val="007805C6"/>
    <w:rsid w:val="00783B24"/>
    <w:rsid w:val="007A75FC"/>
    <w:rsid w:val="007B3A96"/>
    <w:rsid w:val="00A04D38"/>
    <w:rsid w:val="00A72A00"/>
    <w:rsid w:val="00A83908"/>
    <w:rsid w:val="00B3649F"/>
    <w:rsid w:val="00C55168"/>
    <w:rsid w:val="00C55C98"/>
    <w:rsid w:val="00C84B60"/>
    <w:rsid w:val="00D55E3A"/>
    <w:rsid w:val="00D66F57"/>
    <w:rsid w:val="00DA5FFC"/>
    <w:rsid w:val="00E5055A"/>
    <w:rsid w:val="00EF1DE3"/>
    <w:rsid w:val="00F044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810A"/>
  <w15:chartTrackingRefBased/>
  <w15:docId w15:val="{B2B0A397-98B0-4E2C-9942-CAAEA5E5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3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B3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B3A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B3A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B3A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3A9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A9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A9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A9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A9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B3A9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B3A9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B3A9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B3A9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B3A9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A96"/>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A9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A96"/>
    <w:rPr>
      <w:rFonts w:eastAsiaTheme="majorEastAsia" w:cstheme="majorBidi"/>
      <w:color w:val="272727" w:themeColor="text1" w:themeTint="D8"/>
    </w:rPr>
  </w:style>
  <w:style w:type="paragraph" w:styleId="a3">
    <w:name w:val="Title"/>
    <w:basedOn w:val="a"/>
    <w:next w:val="a"/>
    <w:link w:val="a4"/>
    <w:uiPriority w:val="10"/>
    <w:qFormat/>
    <w:rsid w:val="007B3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B3A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A9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B3A9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B3A96"/>
    <w:pPr>
      <w:spacing w:before="160"/>
      <w:jc w:val="center"/>
    </w:pPr>
    <w:rPr>
      <w:i/>
      <w:iCs/>
      <w:color w:val="404040" w:themeColor="text1" w:themeTint="BF"/>
    </w:rPr>
  </w:style>
  <w:style w:type="character" w:customStyle="1" w:styleId="22">
    <w:name w:val="Цитата 2 Знак"/>
    <w:basedOn w:val="a0"/>
    <w:link w:val="21"/>
    <w:uiPriority w:val="29"/>
    <w:rsid w:val="007B3A96"/>
    <w:rPr>
      <w:i/>
      <w:iCs/>
      <w:color w:val="404040" w:themeColor="text1" w:themeTint="BF"/>
    </w:rPr>
  </w:style>
  <w:style w:type="paragraph" w:styleId="a7">
    <w:name w:val="List Paragraph"/>
    <w:basedOn w:val="a"/>
    <w:uiPriority w:val="34"/>
    <w:qFormat/>
    <w:rsid w:val="007B3A96"/>
    <w:pPr>
      <w:ind w:left="720"/>
      <w:contextualSpacing/>
    </w:pPr>
  </w:style>
  <w:style w:type="character" w:styleId="a8">
    <w:name w:val="Intense Emphasis"/>
    <w:basedOn w:val="a0"/>
    <w:uiPriority w:val="21"/>
    <w:qFormat/>
    <w:rsid w:val="007B3A96"/>
    <w:rPr>
      <w:i/>
      <w:iCs/>
      <w:color w:val="0F4761" w:themeColor="accent1" w:themeShade="BF"/>
    </w:rPr>
  </w:style>
  <w:style w:type="paragraph" w:styleId="a9">
    <w:name w:val="Intense Quote"/>
    <w:basedOn w:val="a"/>
    <w:next w:val="a"/>
    <w:link w:val="aa"/>
    <w:uiPriority w:val="30"/>
    <w:qFormat/>
    <w:rsid w:val="007B3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B3A96"/>
    <w:rPr>
      <w:i/>
      <w:iCs/>
      <w:color w:val="0F4761" w:themeColor="accent1" w:themeShade="BF"/>
    </w:rPr>
  </w:style>
  <w:style w:type="character" w:styleId="ab">
    <w:name w:val="Intense Reference"/>
    <w:basedOn w:val="a0"/>
    <w:uiPriority w:val="32"/>
    <w:qFormat/>
    <w:rsid w:val="007B3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1716</Words>
  <Characters>9787</Characters>
  <Application>Microsoft Office Word</Application>
  <DocSecurity>0</DocSecurity>
  <Lines>81</Lines>
  <Paragraphs>22</Paragraphs>
  <ScaleCrop>false</ScaleCrop>
  <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12</cp:revision>
  <dcterms:created xsi:type="dcterms:W3CDTF">2025-10-24T18:21:00Z</dcterms:created>
  <dcterms:modified xsi:type="dcterms:W3CDTF">2025-10-24T22:28:00Z</dcterms:modified>
</cp:coreProperties>
</file>