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CCD7" w14:textId="68E8C8B3" w:rsidR="007805C6" w:rsidRPr="0003792F" w:rsidRDefault="0003792F" w:rsidP="0003792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379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Федор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Иванович</w:t>
      </w:r>
      <w:r w:rsidRPr="0003792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Тютчев</w:t>
      </w:r>
    </w:p>
    <w:p w14:paraId="2077126C" w14:textId="50A06265" w:rsidR="0003792F" w:rsidRPr="0003792F" w:rsidRDefault="0003792F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03792F">
        <w:rPr>
          <w:rFonts w:ascii="Times New Roman" w:hAnsi="Times New Roman" w:cs="Times New Roman"/>
          <w:sz w:val="28"/>
          <w:szCs w:val="28"/>
        </w:rPr>
        <w:t>Фёдор Иванович Тютчев, которого мы привыкли воспринимать главным образом как поэта-лирика, писавшего проникновенные строки о природе и любви, при жизни был куда более известен как дипломат, публицист и один из первых мыслителей, рассуждавших о месте России в мире. Его современники вспоминали не только талант к стихосложению, но и острый ум, способность метко формулировать мысли и глубокое понимание европейской политики.</w:t>
      </w:r>
    </w:p>
    <w:p w14:paraId="130A7B8D" w14:textId="5759AF7F" w:rsidR="0003792F" w:rsidRPr="0003792F" w:rsidRDefault="0003792F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03792F">
        <w:rPr>
          <w:rFonts w:ascii="Times New Roman" w:hAnsi="Times New Roman" w:cs="Times New Roman"/>
          <w:sz w:val="28"/>
          <w:szCs w:val="28"/>
        </w:rPr>
        <w:t xml:space="preserve">Тютчев родился </w:t>
      </w:r>
      <w:r w:rsidR="00DC5BD8">
        <w:rPr>
          <w:rFonts w:ascii="Times New Roman" w:hAnsi="Times New Roman" w:cs="Times New Roman"/>
          <w:sz w:val="28"/>
          <w:szCs w:val="28"/>
        </w:rPr>
        <w:t>5 декабря в</w:t>
      </w:r>
      <w:r w:rsidRPr="0003792F">
        <w:rPr>
          <w:rFonts w:ascii="Times New Roman" w:hAnsi="Times New Roman" w:cs="Times New Roman"/>
          <w:sz w:val="28"/>
          <w:szCs w:val="28"/>
        </w:rPr>
        <w:t xml:space="preserve"> 1803 году в Орловской губернии. Получив блестящее домашнее образование</w:t>
      </w:r>
      <w:r w:rsidR="00AF71B1">
        <w:rPr>
          <w:rFonts w:ascii="Times New Roman" w:hAnsi="Times New Roman" w:cs="Times New Roman"/>
          <w:sz w:val="28"/>
          <w:szCs w:val="28"/>
        </w:rPr>
        <w:t xml:space="preserve">. </w:t>
      </w:r>
      <w:r w:rsidR="00AF71B1" w:rsidRPr="00AF71B1">
        <w:rPr>
          <w:rFonts w:ascii="Times New Roman" w:hAnsi="Times New Roman" w:cs="Times New Roman"/>
          <w:sz w:val="28"/>
          <w:szCs w:val="28"/>
        </w:rPr>
        <w:t>Уже в 14 лет талантливого молодого человека приняли в Общество любителей русской словесности. Тогда же он начал посещать лекции на словесном отделении Московского университета, став полноправным студентом в 15 лет.</w:t>
      </w:r>
      <w:r w:rsidRPr="0003792F">
        <w:rPr>
          <w:rFonts w:ascii="Times New Roman" w:hAnsi="Times New Roman" w:cs="Times New Roman"/>
          <w:sz w:val="28"/>
          <w:szCs w:val="28"/>
        </w:rPr>
        <w:t xml:space="preserve"> </w:t>
      </w:r>
      <w:r w:rsidR="00284B7C" w:rsidRPr="00284B7C">
        <w:rPr>
          <w:rFonts w:ascii="Times New Roman" w:hAnsi="Times New Roman" w:cs="Times New Roman"/>
          <w:sz w:val="28"/>
          <w:szCs w:val="28"/>
        </w:rPr>
        <w:t>Тютчев окончил университет в конце 1821 г. — на год раньше положенного срока (для этого даже потребовалось получить специальное разрешение министра народного просвещения князя Александра Николаевича Голицына). В феврале 1822 г. восемнадцатилетний юноша в чине губернского секретаря уже был зачислен на службу в Государственную коллегию иностранных дел</w:t>
      </w:r>
      <w:r w:rsidRPr="0003792F">
        <w:rPr>
          <w:rFonts w:ascii="Times New Roman" w:hAnsi="Times New Roman" w:cs="Times New Roman"/>
          <w:sz w:val="28"/>
          <w:szCs w:val="28"/>
        </w:rPr>
        <w:t>. Благодаря связям семьи вскоре был направлен в дипломатическую миссию в Мюнхен. Молодой русский чиновник быстро вошёл в круг высшего общества, где ценились его образованность и умение вести беседу. В Германии он познакомился с выдающимися мыслителями и писателями — Фридрихом Шеллингом, Генрихом Гейне, Иоганном Гёте, участвовал в литературных вечерах, переводил труды немецких философов, писал публицистические статьи на французском языке. Более двадцати лет он представлял Россию за границей, главным образом в Баварии, и именно там приобрёл опыт наблюдателя за политической жизнью Европы, что позже определило его публицистическую деятельность.</w:t>
      </w:r>
    </w:p>
    <w:p w14:paraId="65D3D4D9" w14:textId="77777777" w:rsidR="000D7EB2" w:rsidRPr="000D7EB2" w:rsidRDefault="000D7EB2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0D7EB2">
        <w:rPr>
          <w:rFonts w:ascii="Times New Roman" w:hAnsi="Times New Roman" w:cs="Times New Roman"/>
          <w:sz w:val="28"/>
          <w:szCs w:val="28"/>
        </w:rPr>
        <w:t>В 1835 г. Тютчев получил придворное звание камергера. В 1839 г. его дипломатическая деятельность прервалась из-за женитьбы и самовольного отъезда из Турина, но он продолжал жить за границей.</w:t>
      </w:r>
    </w:p>
    <w:p w14:paraId="0A996BAB" w14:textId="77777777" w:rsidR="000D7EB2" w:rsidRPr="000D7EB2" w:rsidRDefault="000D7EB2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0D7EB2">
        <w:rPr>
          <w:rFonts w:ascii="Times New Roman" w:hAnsi="Times New Roman" w:cs="Times New Roman"/>
          <w:sz w:val="28"/>
          <w:szCs w:val="28"/>
        </w:rPr>
        <w:t>В 1843 г. Тютчев встретился с начальником III отделения Собственной Его Императорского Величества канцелярии </w:t>
      </w:r>
      <w:hyperlink r:id="rId4" w:history="1">
        <w:r w:rsidRPr="000D7EB2">
          <w:rPr>
            <w:rStyle w:val="ac"/>
            <w:rFonts w:ascii="Times New Roman" w:hAnsi="Times New Roman" w:cs="Times New Roman"/>
            <w:sz w:val="28"/>
            <w:szCs w:val="28"/>
          </w:rPr>
          <w:t>А. Х. Бенкендорфом</w:t>
        </w:r>
      </w:hyperlink>
      <w:r w:rsidRPr="000D7EB2">
        <w:rPr>
          <w:rFonts w:ascii="Times New Roman" w:hAnsi="Times New Roman" w:cs="Times New Roman"/>
          <w:sz w:val="28"/>
          <w:szCs w:val="28"/>
        </w:rPr>
        <w:t>. Он показал всесильному царедворцу свои философские труды — размышления о судьбе России и Запада. Тютчев хотел изменить отношение европейцев к России, для чего предлагал активно публиковать в известных немецких и французских журналах статьи о политике, продвигая в них позитивный облик России.</w:t>
      </w:r>
    </w:p>
    <w:p w14:paraId="3AC422A3" w14:textId="77777777" w:rsidR="000D7EB2" w:rsidRDefault="000D7EB2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0D7EB2">
        <w:rPr>
          <w:rFonts w:ascii="Times New Roman" w:hAnsi="Times New Roman" w:cs="Times New Roman"/>
          <w:sz w:val="28"/>
          <w:szCs w:val="28"/>
        </w:rPr>
        <w:lastRenderedPageBreak/>
        <w:t>Итогом этой встречи стала поддержка императором </w:t>
      </w:r>
      <w:hyperlink r:id="rId5" w:history="1">
        <w:r w:rsidRPr="000D7EB2">
          <w:rPr>
            <w:rStyle w:val="ac"/>
            <w:rFonts w:ascii="Times New Roman" w:hAnsi="Times New Roman" w:cs="Times New Roman"/>
            <w:sz w:val="28"/>
            <w:szCs w:val="28"/>
          </w:rPr>
          <w:t>Николаем I</w:t>
        </w:r>
      </w:hyperlink>
      <w:r w:rsidRPr="000D7EB2">
        <w:rPr>
          <w:rFonts w:ascii="Times New Roman" w:hAnsi="Times New Roman" w:cs="Times New Roman"/>
          <w:sz w:val="28"/>
          <w:szCs w:val="28"/>
        </w:rPr>
        <w:t> всех инициатив Тютчева. Ему дали «добро» на самостоятельные выступления в печати. 20 сентября 1844 г. Тютчев возвратился в Россию.</w:t>
      </w:r>
    </w:p>
    <w:p w14:paraId="1634E3A5" w14:textId="0AE8B160" w:rsidR="00AE65DD" w:rsidRDefault="00AE65DD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AE65DD">
        <w:rPr>
          <w:rFonts w:ascii="Times New Roman" w:hAnsi="Times New Roman" w:cs="Times New Roman"/>
          <w:sz w:val="28"/>
          <w:szCs w:val="28"/>
        </w:rPr>
        <w:t xml:space="preserve">На Родине Тютчев вновь поступил в Министерство иностранных дел (1845), где с 1848 г. занимал должность старшего цензора, определявшего, что можно, а что нельзя переводить и печатать в России. </w:t>
      </w:r>
      <w:r w:rsidR="005D5D6D" w:rsidRPr="005D5D6D">
        <w:rPr>
          <w:rFonts w:ascii="Times New Roman" w:hAnsi="Times New Roman" w:cs="Times New Roman"/>
          <w:sz w:val="28"/>
          <w:szCs w:val="28"/>
        </w:rPr>
        <w:t>В 1848 г. в странах Европы заполыхала очередная революция. В Европе набирали силу антирусские выступления — Франция собиралась взять реванш за 1812 год, польские националисты надеялись отвоевать у России Польшу.</w:t>
      </w:r>
    </w:p>
    <w:p w14:paraId="14327A2F" w14:textId="0FF211CA" w:rsidR="0003792F" w:rsidRPr="0003792F" w:rsidRDefault="00B50502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B50502">
        <w:rPr>
          <w:rFonts w:ascii="Times New Roman" w:hAnsi="Times New Roman" w:cs="Times New Roman"/>
          <w:sz w:val="28"/>
          <w:szCs w:val="28"/>
        </w:rPr>
        <w:t>Проживший много лет в Европе, Тютчев очень хорошо понимал эти настроения и то, к чему они могут привести. </w:t>
      </w:r>
      <w:r w:rsidR="0003792F" w:rsidRPr="0003792F">
        <w:rPr>
          <w:rFonts w:ascii="Times New Roman" w:hAnsi="Times New Roman" w:cs="Times New Roman"/>
          <w:sz w:val="28"/>
          <w:szCs w:val="28"/>
        </w:rPr>
        <w:t>В статьях он последовательно противопоставлял Россию и революционную Европу. В известной работе «Россия и Революция» он писал, что в мире существуют две силы, стоящие друг против друга: с одной стороны — Россия как хранительница христианских ценностей и самобытной цивилизации, с другой — революция, несущая разрушение и антихристианский дух.</w:t>
      </w:r>
    </w:p>
    <w:p w14:paraId="6F862C1F" w14:textId="77777777" w:rsidR="0003792F" w:rsidRPr="0003792F" w:rsidRDefault="0003792F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03792F">
        <w:rPr>
          <w:rFonts w:ascii="Times New Roman" w:hAnsi="Times New Roman" w:cs="Times New Roman"/>
          <w:sz w:val="28"/>
          <w:szCs w:val="28"/>
        </w:rPr>
        <w:t>В дальнейшем дипломатическая и публицистическая деятельность Тютчева всё теснее переплеталась. Во время Крымской войны он одним из первых осознал, что Европа выступает против России единым фронтом, и предупреждал об опасности доверчивой политики. Он резко критиковал министра иностранных дел Нессельроде за искажение реальной картины в докладах императору и за ориентацию на западные державы. После поражения России и падения Севастополя именно Тютчев стал одним из тех, кто добивался отставки Нессельроде. На его место пришёл князь Горчаков, близкий друг поэта, и многие историки считают, что дипломатическая линия нового канцлера во многом была подсказана именно Тютчевым.</w:t>
      </w:r>
    </w:p>
    <w:p w14:paraId="0957934E" w14:textId="77777777" w:rsidR="0003792F" w:rsidRPr="0003792F" w:rsidRDefault="0003792F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03792F">
        <w:rPr>
          <w:rFonts w:ascii="Times New Roman" w:hAnsi="Times New Roman" w:cs="Times New Roman"/>
          <w:sz w:val="28"/>
          <w:szCs w:val="28"/>
        </w:rPr>
        <w:t>Карьера поэта-дипломата продолжала развиваться и в России. Он получил чин действительного статского советника, стал председателем Комитета иностранной цензуры, а незадолго до смерти был произведён в тайные советники — это был один из высших чинов в имперской табели о рангах. Даже будучи тяжело больным, он продолжал следить за международными событиями и не терял интереса к политике.</w:t>
      </w:r>
    </w:p>
    <w:p w14:paraId="7FBADC7E" w14:textId="77777777" w:rsidR="0003792F" w:rsidRPr="0003792F" w:rsidRDefault="0003792F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03792F">
        <w:rPr>
          <w:rFonts w:ascii="Times New Roman" w:hAnsi="Times New Roman" w:cs="Times New Roman"/>
          <w:sz w:val="28"/>
          <w:szCs w:val="28"/>
        </w:rPr>
        <w:t xml:space="preserve">Значение Тютчева для России выходит далеко за пределы его стихотворений. Он стал одним из первых мыслителей, кто рассматривал международные отношения в цивилизационном масштабе. Для него Россия была не просто страной среди других держав, а особым миром, противопоставленным Западу, с собственным историческим призванием. Он утверждал, что России не </w:t>
      </w:r>
      <w:r w:rsidRPr="0003792F">
        <w:rPr>
          <w:rFonts w:ascii="Times New Roman" w:hAnsi="Times New Roman" w:cs="Times New Roman"/>
          <w:sz w:val="28"/>
          <w:szCs w:val="28"/>
        </w:rPr>
        <w:lastRenderedPageBreak/>
        <w:t>следует искать признания Европы, поскольку её путь самостоятелен и уникален. Эти идеи, выраженные в публицистике и стихах, легли в основу целого направления русской политической мысли.</w:t>
      </w:r>
    </w:p>
    <w:p w14:paraId="3EA9C0B7" w14:textId="77777777" w:rsidR="0003792F" w:rsidRDefault="0003792F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03792F">
        <w:rPr>
          <w:rFonts w:ascii="Times New Roman" w:hAnsi="Times New Roman" w:cs="Times New Roman"/>
          <w:sz w:val="28"/>
          <w:szCs w:val="28"/>
        </w:rPr>
        <w:t>Таким образом, Фёдор Тютчев был не только поэтом, но и важной фигурой в дипломатии и политике XIX века. Его труды и статьи способствовали формированию образа России за рубежом, его мысли повлияли на курс внешней политики, а его личный пример показал, что поэт может быть и государственным деятелем, и мыслителем, способным определять стратегию целой страны.</w:t>
      </w:r>
    </w:p>
    <w:p w14:paraId="29F63077" w14:textId="77777777" w:rsidR="006F1D71" w:rsidRPr="006F1D71" w:rsidRDefault="006F1D71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6F1D71">
        <w:rPr>
          <w:rFonts w:ascii="Times New Roman" w:hAnsi="Times New Roman" w:cs="Times New Roman"/>
          <w:sz w:val="28"/>
          <w:szCs w:val="28"/>
        </w:rPr>
        <w:t>4 декабря 1872 г. поэт утратил свободу движения левой рукой и ощутил резкое ухудшение зрения; его начали одолевать мучительные головные боли. Утром 1 января 1873 г., невзирая на предостережения окружающих, Фёдор Иванович пошёл на прогулку. На улице с ним случился удар, парализовавший всю левую половину тела.</w:t>
      </w:r>
    </w:p>
    <w:p w14:paraId="64AE0E6F" w14:textId="5A46C9C5" w:rsidR="006F1D71" w:rsidRDefault="006F1D71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6F1D71">
        <w:rPr>
          <w:rFonts w:ascii="Times New Roman" w:hAnsi="Times New Roman" w:cs="Times New Roman"/>
          <w:sz w:val="28"/>
          <w:szCs w:val="28"/>
        </w:rPr>
        <w:t xml:space="preserve">Тютчев скончался на 70-м году жизни </w:t>
      </w:r>
      <w:r w:rsidR="00CF42EA">
        <w:rPr>
          <w:rFonts w:ascii="Times New Roman" w:hAnsi="Times New Roman" w:cs="Times New Roman"/>
          <w:sz w:val="28"/>
          <w:szCs w:val="28"/>
        </w:rPr>
        <w:t>27</w:t>
      </w:r>
      <w:r w:rsidRPr="006F1D71">
        <w:rPr>
          <w:rFonts w:ascii="Times New Roman" w:hAnsi="Times New Roman" w:cs="Times New Roman"/>
          <w:sz w:val="28"/>
          <w:szCs w:val="28"/>
        </w:rPr>
        <w:t> июля 1873 г. в Царском Селе</w:t>
      </w:r>
      <w:r w:rsidR="005E129F">
        <w:rPr>
          <w:rFonts w:ascii="Times New Roman" w:hAnsi="Times New Roman" w:cs="Times New Roman"/>
          <w:sz w:val="28"/>
          <w:szCs w:val="28"/>
        </w:rPr>
        <w:t xml:space="preserve">, </w:t>
      </w:r>
      <w:r w:rsidRPr="006F1D71">
        <w:rPr>
          <w:rFonts w:ascii="Times New Roman" w:hAnsi="Times New Roman" w:cs="Times New Roman"/>
          <w:sz w:val="28"/>
          <w:szCs w:val="28"/>
        </w:rPr>
        <w:t>похоронен на кладбище Новодевичьего монастыря.</w:t>
      </w:r>
    </w:p>
    <w:p w14:paraId="57CD8419" w14:textId="5A0C413B" w:rsidR="008077E4" w:rsidRPr="008077E4" w:rsidRDefault="008077E4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8077E4">
        <w:rPr>
          <w:rFonts w:ascii="Times New Roman" w:hAnsi="Times New Roman" w:cs="Times New Roman"/>
          <w:sz w:val="28"/>
          <w:szCs w:val="28"/>
        </w:rPr>
        <w:t xml:space="preserve">Так как Фёдор Иванович Тютчев вошёл в историю прежде всего как поэт-лирик, писавший </w:t>
      </w:r>
      <w:r w:rsidR="00E340BE">
        <w:rPr>
          <w:rFonts w:ascii="Times New Roman" w:hAnsi="Times New Roman" w:cs="Times New Roman"/>
          <w:sz w:val="28"/>
          <w:szCs w:val="28"/>
        </w:rPr>
        <w:t>о</w:t>
      </w:r>
      <w:r w:rsidRPr="008077E4">
        <w:rPr>
          <w:rFonts w:ascii="Times New Roman" w:hAnsi="Times New Roman" w:cs="Times New Roman"/>
          <w:sz w:val="28"/>
          <w:szCs w:val="28"/>
        </w:rPr>
        <w:t xml:space="preserve"> природе, завершить нашу </w:t>
      </w:r>
      <w:r w:rsidR="00A02AE9">
        <w:rPr>
          <w:rFonts w:ascii="Times New Roman" w:hAnsi="Times New Roman" w:cs="Times New Roman"/>
          <w:sz w:val="28"/>
          <w:szCs w:val="28"/>
        </w:rPr>
        <w:t>презентацию</w:t>
      </w:r>
      <w:r w:rsidRPr="008077E4">
        <w:rPr>
          <w:rFonts w:ascii="Times New Roman" w:hAnsi="Times New Roman" w:cs="Times New Roman"/>
          <w:sz w:val="28"/>
          <w:szCs w:val="28"/>
        </w:rPr>
        <w:t xml:space="preserve"> хочется именно его поэзией. </w:t>
      </w:r>
      <w:r w:rsidR="00E74F1D">
        <w:rPr>
          <w:rFonts w:ascii="Times New Roman" w:hAnsi="Times New Roman" w:cs="Times New Roman"/>
          <w:sz w:val="28"/>
          <w:szCs w:val="28"/>
        </w:rPr>
        <w:t>Хочется представить в</w:t>
      </w:r>
      <w:r w:rsidRPr="008077E4">
        <w:rPr>
          <w:rFonts w:ascii="Times New Roman" w:hAnsi="Times New Roman" w:cs="Times New Roman"/>
          <w:sz w:val="28"/>
          <w:szCs w:val="28"/>
        </w:rPr>
        <w:t xml:space="preserve">сем </w:t>
      </w:r>
      <w:r w:rsidR="00A02AE9">
        <w:rPr>
          <w:rFonts w:ascii="Times New Roman" w:hAnsi="Times New Roman" w:cs="Times New Roman"/>
          <w:sz w:val="28"/>
          <w:szCs w:val="28"/>
        </w:rPr>
        <w:t xml:space="preserve">известное стихотворение о </w:t>
      </w:r>
      <w:r w:rsidRPr="008077E4">
        <w:rPr>
          <w:rFonts w:ascii="Times New Roman" w:hAnsi="Times New Roman" w:cs="Times New Roman"/>
          <w:sz w:val="28"/>
          <w:szCs w:val="28"/>
        </w:rPr>
        <w:t>весн</w:t>
      </w:r>
      <w:r w:rsidR="00A02AE9">
        <w:rPr>
          <w:rFonts w:ascii="Times New Roman" w:hAnsi="Times New Roman" w:cs="Times New Roman"/>
          <w:sz w:val="28"/>
          <w:szCs w:val="28"/>
        </w:rPr>
        <w:t>е</w:t>
      </w:r>
      <w:r w:rsidRPr="008077E4">
        <w:rPr>
          <w:rFonts w:ascii="Times New Roman" w:hAnsi="Times New Roman" w:cs="Times New Roman"/>
          <w:sz w:val="28"/>
          <w:szCs w:val="28"/>
        </w:rPr>
        <w:t>:</w:t>
      </w:r>
    </w:p>
    <w:p w14:paraId="0251A2E1" w14:textId="77777777" w:rsidR="008077E4" w:rsidRPr="008077E4" w:rsidRDefault="008077E4" w:rsidP="00176DBF">
      <w:pPr>
        <w:rPr>
          <w:rFonts w:ascii="Times New Roman" w:hAnsi="Times New Roman" w:cs="Times New Roman"/>
          <w:sz w:val="28"/>
          <w:szCs w:val="28"/>
        </w:rPr>
      </w:pPr>
      <w:r w:rsidRPr="008077E4">
        <w:rPr>
          <w:rFonts w:ascii="Times New Roman" w:hAnsi="Times New Roman" w:cs="Times New Roman"/>
          <w:i/>
          <w:iCs/>
          <w:sz w:val="28"/>
          <w:szCs w:val="28"/>
        </w:rPr>
        <w:t>«Люблю грозу в начале мая,</w:t>
      </w:r>
      <w:r w:rsidRPr="008077E4">
        <w:rPr>
          <w:rFonts w:ascii="Times New Roman" w:hAnsi="Times New Roman" w:cs="Times New Roman"/>
          <w:i/>
          <w:iCs/>
          <w:sz w:val="28"/>
          <w:szCs w:val="28"/>
        </w:rPr>
        <w:br/>
        <w:t>когда весенний первый гром,</w:t>
      </w:r>
      <w:r w:rsidRPr="008077E4">
        <w:rPr>
          <w:rFonts w:ascii="Times New Roman" w:hAnsi="Times New Roman" w:cs="Times New Roman"/>
          <w:i/>
          <w:iCs/>
          <w:sz w:val="28"/>
          <w:szCs w:val="28"/>
        </w:rPr>
        <w:br/>
        <w:t xml:space="preserve">Как бы </w:t>
      </w:r>
      <w:proofErr w:type="spellStart"/>
      <w:r w:rsidRPr="008077E4">
        <w:rPr>
          <w:rFonts w:ascii="Times New Roman" w:hAnsi="Times New Roman" w:cs="Times New Roman"/>
          <w:i/>
          <w:iCs/>
          <w:sz w:val="28"/>
          <w:szCs w:val="28"/>
        </w:rPr>
        <w:t>резвяся</w:t>
      </w:r>
      <w:proofErr w:type="spellEnd"/>
      <w:r w:rsidRPr="008077E4">
        <w:rPr>
          <w:rFonts w:ascii="Times New Roman" w:hAnsi="Times New Roman" w:cs="Times New Roman"/>
          <w:i/>
          <w:iCs/>
          <w:sz w:val="28"/>
          <w:szCs w:val="28"/>
        </w:rPr>
        <w:t xml:space="preserve"> и играя,</w:t>
      </w:r>
      <w:r w:rsidRPr="008077E4">
        <w:rPr>
          <w:rFonts w:ascii="Times New Roman" w:hAnsi="Times New Roman" w:cs="Times New Roman"/>
          <w:i/>
          <w:iCs/>
          <w:sz w:val="28"/>
          <w:szCs w:val="28"/>
        </w:rPr>
        <w:br/>
        <w:t>Грохочет в небе голубом».</w:t>
      </w:r>
    </w:p>
    <w:p w14:paraId="10E24584" w14:textId="49E02A6B" w:rsidR="008077E4" w:rsidRPr="008077E4" w:rsidRDefault="008077E4" w:rsidP="00176DBF">
      <w:pPr>
        <w:jc w:val="both"/>
        <w:rPr>
          <w:rFonts w:ascii="Times New Roman" w:hAnsi="Times New Roman" w:cs="Times New Roman"/>
          <w:sz w:val="28"/>
          <w:szCs w:val="28"/>
        </w:rPr>
      </w:pPr>
      <w:r w:rsidRPr="008077E4">
        <w:rPr>
          <w:rFonts w:ascii="Times New Roman" w:hAnsi="Times New Roman" w:cs="Times New Roman"/>
          <w:sz w:val="28"/>
          <w:szCs w:val="28"/>
        </w:rPr>
        <w:t>Но не все знают, что именно Тютчеву принадлежат и другие строки —выражающие его политическое и философское мироощущение. Это те самые знаменитые слова, которые стали крылатыми:</w:t>
      </w:r>
    </w:p>
    <w:p w14:paraId="07F1199C" w14:textId="7FB47B5C" w:rsidR="0003792F" w:rsidRPr="0003792F" w:rsidRDefault="008077E4" w:rsidP="00176DBF">
      <w:pPr>
        <w:rPr>
          <w:rFonts w:ascii="Times New Roman" w:hAnsi="Times New Roman" w:cs="Times New Roman"/>
          <w:sz w:val="28"/>
          <w:szCs w:val="28"/>
        </w:rPr>
      </w:pPr>
      <w:r w:rsidRPr="008077E4">
        <w:rPr>
          <w:rFonts w:ascii="Times New Roman" w:hAnsi="Times New Roman" w:cs="Times New Roman"/>
          <w:i/>
          <w:iCs/>
          <w:sz w:val="28"/>
          <w:szCs w:val="28"/>
        </w:rPr>
        <w:t>«Умом Россию не понять,</w:t>
      </w:r>
      <w:r w:rsidRPr="008077E4">
        <w:rPr>
          <w:rFonts w:ascii="Times New Roman" w:hAnsi="Times New Roman" w:cs="Times New Roman"/>
          <w:i/>
          <w:iCs/>
          <w:sz w:val="28"/>
          <w:szCs w:val="28"/>
        </w:rPr>
        <w:br/>
        <w:t>Аршином общим не измерить:</w:t>
      </w:r>
      <w:r w:rsidRPr="008077E4">
        <w:rPr>
          <w:rFonts w:ascii="Times New Roman" w:hAnsi="Times New Roman" w:cs="Times New Roman"/>
          <w:i/>
          <w:iCs/>
          <w:sz w:val="28"/>
          <w:szCs w:val="28"/>
        </w:rPr>
        <w:br/>
        <w:t>У ней особенная стать —</w:t>
      </w:r>
      <w:r w:rsidRPr="008077E4">
        <w:rPr>
          <w:rFonts w:ascii="Times New Roman" w:hAnsi="Times New Roman" w:cs="Times New Roman"/>
          <w:i/>
          <w:iCs/>
          <w:sz w:val="28"/>
          <w:szCs w:val="28"/>
        </w:rPr>
        <w:br/>
        <w:t>В Россию можно только верить».</w:t>
      </w:r>
    </w:p>
    <w:sectPr w:rsidR="0003792F" w:rsidRPr="00037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BE"/>
    <w:rsid w:val="0003792F"/>
    <w:rsid w:val="000D7EB2"/>
    <w:rsid w:val="00176DBF"/>
    <w:rsid w:val="00284B7C"/>
    <w:rsid w:val="0030534D"/>
    <w:rsid w:val="003A30D6"/>
    <w:rsid w:val="00444A4F"/>
    <w:rsid w:val="0049588B"/>
    <w:rsid w:val="0059018D"/>
    <w:rsid w:val="005D5D6D"/>
    <w:rsid w:val="005E129F"/>
    <w:rsid w:val="005E4651"/>
    <w:rsid w:val="006F1D71"/>
    <w:rsid w:val="007805C6"/>
    <w:rsid w:val="008077E4"/>
    <w:rsid w:val="008466BE"/>
    <w:rsid w:val="00863618"/>
    <w:rsid w:val="00932854"/>
    <w:rsid w:val="00A02AE9"/>
    <w:rsid w:val="00A06042"/>
    <w:rsid w:val="00A72A00"/>
    <w:rsid w:val="00AE65DD"/>
    <w:rsid w:val="00AF71B1"/>
    <w:rsid w:val="00B50502"/>
    <w:rsid w:val="00CF42EA"/>
    <w:rsid w:val="00DA5FFC"/>
    <w:rsid w:val="00DC5BD8"/>
    <w:rsid w:val="00E340BE"/>
    <w:rsid w:val="00E5055A"/>
    <w:rsid w:val="00E74F1D"/>
    <w:rsid w:val="00E838FE"/>
    <w:rsid w:val="00F0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73D3"/>
  <w15:chartTrackingRefBased/>
  <w15:docId w15:val="{744B9A34-57F4-4C95-9DC1-29F135C6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6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6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6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6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6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6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6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6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6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6B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7E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7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ibuna.ee/tribute/nikolaj-i-halif-v-mundire/" TargetMode="External"/><Relationship Id="rId4" Type="http://schemas.openxmlformats.org/officeDocument/2006/relationships/hyperlink" Target="https://tribuna.ee/tribute/aleksandr-benkendorf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23</cp:revision>
  <dcterms:created xsi:type="dcterms:W3CDTF">2025-09-05T20:29:00Z</dcterms:created>
  <dcterms:modified xsi:type="dcterms:W3CDTF">2025-09-09T15:33:00Z</dcterms:modified>
</cp:coreProperties>
</file>