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  <w:lang w:val="ru-RU"/>
        </w:rPr>
        <w:t>Потоки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потоками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случае, если денежных средств недостаточно – вывести сообщение.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throws InterruptedException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Bank bank = new Bank();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int[] accountIDs = {1, 2, 3, 4};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bank.addAccount(accountIDs[0]);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bank.addAccount(accountIDs[1]);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bank.addAccount(accountIDs[2]);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bank.addAccount(accountIDs[3]);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rnd;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10;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rnd = new Random().nextInt(accountIDs.length - 1);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bank.cashIn(accountIDs[rnd], new Random().nextInt(1000));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rnd = new Random().nextInt(accountIDs.length - 1);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bank.cashOut(accountIDs[rnd], new Random().nextInt(1000));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catch (RuntimeException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System.out.println("Error: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java.util.Collections;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java.util.HashMap;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Bank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Map&lt;Integer, Integer&gt; map = Collections.synchronizedMap(new HashMap&lt;Integer, Integer&gt;());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cashIn(int accountID, int amount)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new Thread(() -&gt;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(!map.containsKey(accountID))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throw new RuntimeException("Данного аккаунта не существует");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map.put(accountID, map.get(accountID) + amount);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System.out.println("Сумма пополнилась, остаток: " + map.get(accountID));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}).start();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cashOut(int accountID, int amount)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new Thread(() -&gt;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(!map.containsKey(accountID))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throw new RuntimeException("Данного аккаунта не существует");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(Math.abs(map.get(accountID)) &lt; amount)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throw new RuntimeException("Сумма списания больше остатка");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map.put(accountID, map.get(accountID) - amount);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System.out.println("Сумма списалась, остаток: " + map.get(accountID));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}).start();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addAccount(int accountID){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(map.containsKey(accountID))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RuntimeException("Аккаунт уже существует");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map.put(accountID, 0);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throws IOException, InterruptedException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System.out.println("Робот идет гулять:");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Robot.go();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java.util.concurrent.atomic.AtomicBoolean;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Robot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static AtomicBoolean leg = new AtomicBoolean(false);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go(){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leftLeg();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rightLeg();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static void leftLeg()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new Thread(() -&gt;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leg("LEFT", true);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}).start();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static void rightLeg()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new Thread(() -&gt;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leg("RIGHT", 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}).start();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static void leg(String side, boolean key)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while(true)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timeout = (int) ((Math.random() * (3000 - 1000)) + 1000);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Thread.sleep(timeout);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catch (InterruptedException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throw new RuntimeException(e);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(Robot.leg.get() == key)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System.out.println(side);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Robot.leg.set(!Robot.leg.get());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потоками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2024-06-18T20:55:18Z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