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000000"/>
          <w:sz w:val="32"/>
        </w:rPr>
        <w:t>Smart Automatic Water Dispensing System with</w:t>
        <w:br/>
        <w:t>Real-Time Monitoring and IoT-Based Payment Integration</w:t>
      </w:r>
    </w:p>
    <w:p/>
    <w:p>
      <w:pPr>
        <w:spacing w:after="20"/>
        <w:jc w:val="center"/>
      </w:pPr>
      <w:r>
        <w:rPr>
          <w:rFonts w:ascii="Times New Roman" w:hAnsi="Times New Roman"/>
          <w:b/>
          <w:sz w:val="22"/>
        </w:rPr>
        <w:t>Jyoti Ranjan Behera</w:t>
      </w:r>
    </w:p>
    <w:p>
      <w:pPr>
        <w:spacing w:after="20"/>
        <w:jc w:val="center"/>
      </w:pPr>
      <w:r>
        <w:rPr>
          <w:rFonts w:ascii="Times New Roman" w:hAnsi="Times New Roman"/>
          <w:b w:val="0"/>
          <w:sz w:val="18"/>
        </w:rPr>
        <w:t>Department of Computer Science &amp; Engineering</w:t>
        <w:br/>
        <w:t>IoT and Embedded Systems Research Group</w:t>
      </w:r>
    </w:p>
    <w:p>
      <w:pPr>
        <w:spacing w:after="20"/>
        <w:jc w:val="center"/>
      </w:pPr>
      <w:r>
        <w:rPr>
          <w:rFonts w:ascii="Times New Roman" w:hAnsi="Times New Roman"/>
          <w:b w:val="0"/>
          <w:sz w:val="18"/>
        </w:rPr>
        <w:t>jyoti@example.ac.in</w:t>
      </w:r>
    </w:p>
    <w:p>
      <w:pPr>
        <w:spacing w:after="20"/>
        <w:jc w:val="center"/>
      </w:pPr>
      <w:r>
        <w:rPr>
          <w:rFonts w:ascii="Times New Roman" w:hAnsi="Times New Roman"/>
          <w:b/>
          <w:sz w:val="22"/>
        </w:rPr>
        <w:t>Supervisor / Guide</w:t>
      </w:r>
    </w:p>
    <w:p>
      <w:pPr>
        <w:spacing w:after="20"/>
        <w:jc w:val="center"/>
      </w:pPr>
      <w:r>
        <w:rPr>
          <w:rFonts w:ascii="Times New Roman" w:hAnsi="Times New Roman"/>
          <w:b w:val="0"/>
          <w:sz w:val="18"/>
        </w:rPr>
        <w:t>Department of Computer Science &amp; Engineering</w:t>
      </w:r>
    </w:p>
    <w:p>
      <w:pPr>
        <w:spacing w:after="20"/>
        <w:jc w:val="center"/>
      </w:pPr>
      <w:r>
        <w:rPr>
          <w:rFonts w:ascii="Times New Roman" w:hAnsi="Times New Roman"/>
          <w:b w:val="0"/>
          <w:sz w:val="18"/>
        </w:rPr>
        <w:t>guide@example.ac.in</w:t>
      </w:r>
    </w:p>
    <w:p/>
    <w:p>
      <w:pPr>
        <w:spacing w:after="60"/>
        <w:jc w:val="both"/>
      </w:pPr>
      <w:r>
        <w:rPr>
          <w:rFonts w:ascii="Times New Roman" w:hAnsi="Times New Roman"/>
          <w:b/>
          <w:sz w:val="18"/>
        </w:rPr>
        <w:t>Abstract—</w:t>
      </w:r>
      <w:r>
        <w:rPr>
          <w:rFonts w:ascii="Times New Roman" w:hAnsi="Times New Roman"/>
          <w:sz w:val="18"/>
        </w:rPr>
        <w:t>Access to clean drinking water is one of the fundamental human rights, yet its management remains a persistent challenge in public spaces, institutions, and urban localities. This paper presents an IoT-enabled Smart Water Dispensing System that automates the process of water distribution, monitors quality parameters in real time, and integrates a secure digital payment gateway (Cashfree). The system collects live sensor readings including Total Dissolved Solids (TDS), turbidity, pH level, dissolved oxygen, water temperature, environmental temperature, water level, and tank capacity. A React.js-based progressive web application provides a user-friendly front-end for customers and a full-screen, role-protected admin dashboard for management personnel. The backend is built on Node.js and Express with MongoDB Atlas as the cloud database. Admin sessions are persisted via browser localStorage, and a geolocation-based live map displays the positions of multiple dispensers. Experimental evaluation demonstrates real-time responsiveness, reliable payment handling, and comprehensive water quality reporting.</w:t>
      </w:r>
    </w:p>
    <w:p>
      <w:pPr>
        <w:spacing w:after="60"/>
        <w:jc w:val="both"/>
      </w:pPr>
      <w:r>
        <w:rPr>
          <w:rFonts w:ascii="Times New Roman" w:hAnsi="Times New Roman"/>
          <w:b/>
          <w:sz w:val="18"/>
        </w:rPr>
        <w:t>Keywords—</w:t>
      </w:r>
      <w:r>
        <w:rPr>
          <w:rFonts w:ascii="Times New Roman" w:hAnsi="Times New Roman"/>
          <w:sz w:val="18"/>
        </w:rPr>
        <w:t>Water dispensing; IoT; Cashfree payment gateway; TDS monitoring; React.js; Node.js; MongoDB; Admin dashboard; Live location map; pH sensor; Water quality.</w:t>
      </w:r>
    </w:p>
    <w:p>
      <w:pPr>
        <w:pBdr>
          <w:bottom w:val="single" w:sz="4" w:space="1" w:color="auto"/>
        </w:pBdr>
        <w:spacing w:before="80" w:after="80"/>
      </w:pPr>
    </w:p>
    <w:p>
      <w:pPr>
        <w:spacing w:before="120" w:after="60"/>
        <w:jc w:val="left"/>
      </w:pPr>
      <w:r>
        <w:rPr>
          <w:rFonts w:ascii="Times New Roman" w:hAnsi="Times New Roman"/>
          <w:b/>
          <w:sz w:val="18"/>
        </w:rPr>
        <w:t>I. INTRODUCTION</w:t>
      </w:r>
    </w:p>
    <w:p>
      <w:pPr>
        <w:spacing w:after="60"/>
        <w:ind w:firstLine="283"/>
        <w:jc w:val="both"/>
      </w:pPr>
      <w:r>
        <w:rPr>
          <w:rFonts w:ascii="Times New Roman" w:hAnsi="Times New Roman"/>
          <w:sz w:val="18"/>
        </w:rPr>
        <w:t>Access to potable water is central to public health and socioeconomic development. Conventional water dispensing infrastructure suffers from a lack of transparency, absence of real-time quality monitoring, and dependence on manual collection of usage data. As urbanisation accelerates, the need for scalable, automated, and accountable water distribution systems has never been more pressing.</w:t>
      </w:r>
    </w:p>
    <w:p>
      <w:pPr>
        <w:spacing w:after="60"/>
        <w:ind w:firstLine="283"/>
        <w:jc w:val="both"/>
      </w:pPr>
      <w:r>
        <w:rPr>
          <w:rFonts w:ascii="Times New Roman" w:hAnsi="Times New Roman"/>
          <w:sz w:val="18"/>
        </w:rPr>
        <w:t>Internet of Things (IoT) technologies, combined with cloud computing and modern web frameworks, enable a new generation of smart water management solutions. Sensors can continuously measure water quality parameters; cloud databases record consumption history; and mobile-friendly web applications allow both administrators and end-users to interact with the system seamlessly. Integrating a digital payment gateway further removes friction from the water procurement process and creates an auditable financial trail.</w:t>
      </w:r>
    </w:p>
    <w:p>
      <w:pPr>
        <w:spacing w:after="60"/>
        <w:ind w:firstLine="283"/>
        <w:jc w:val="both"/>
      </w:pPr>
      <w:r>
        <w:rPr>
          <w:rFonts w:ascii="Times New Roman" w:hAnsi="Times New Roman"/>
          <w:sz w:val="18"/>
        </w:rPr>
        <w:t>This paper describes the design, implementation, and evaluation of an end-to-end Smart Automatic Water Dispensing System. The system comprises: (i) an IoT sensing layer that acquires eight water and environmental parameters; (ii) a Node.js/Express REST API backed by MongoDB Atlas; (iii) a React.js progressive web application for customers; and (iv) a protected admin panel with live sensor dashboard, multi-site management, geolocation map, and credential management.</w:t>
      </w:r>
    </w:p>
    <w:p>
      <w:pPr>
        <w:spacing w:after="60"/>
        <w:ind w:firstLine="283"/>
        <w:jc w:val="both"/>
      </w:pPr>
      <w:r>
        <w:rPr>
          <w:rFonts w:ascii="Times New Roman" w:hAnsi="Times New Roman"/>
          <w:sz w:val="18"/>
        </w:rPr>
        <w:t>The remainder of this paper is structured as follows. Section II surveys related work. Section III presents the system architecture. Section IV details the hardware and sensor layer. Section V describes the software components. Section VI covers the admin panel features. Section VII discusses the payment integration. Section VIII presents evaluation results, and Section IX concludes with future directions.</w:t>
      </w:r>
    </w:p>
    <w:p>
      <w:pPr>
        <w:spacing w:before="120" w:after="60"/>
        <w:jc w:val="left"/>
      </w:pPr>
      <w:r>
        <w:rPr>
          <w:rFonts w:ascii="Times New Roman" w:hAnsi="Times New Roman"/>
          <w:b/>
          <w:sz w:val="18"/>
        </w:rPr>
        <w:t>II. RELATED WORK</w:t>
      </w:r>
    </w:p>
    <w:p>
      <w:pPr>
        <w:spacing w:after="60"/>
        <w:ind w:firstLine="283"/>
        <w:jc w:val="both"/>
      </w:pPr>
      <w:r>
        <w:rPr>
          <w:rFonts w:ascii="Times New Roman" w:hAnsi="Times New Roman"/>
          <w:sz w:val="18"/>
        </w:rPr>
        <w:t>Several works have explored automated water quality monitoring using IoT. Postolache et al. [1] proposed a remote sensing system for drinking-water quality based on low-cost sensors interfaced with a microcontroller and a GSM module. Their approach focused on turbidity and pH but lacked a payment or dispensing mechanism.</w:t>
      </w:r>
    </w:p>
    <w:p>
      <w:pPr>
        <w:spacing w:after="60"/>
        <w:ind w:firstLine="283"/>
        <w:jc w:val="both"/>
      </w:pPr>
      <w:r>
        <w:rPr>
          <w:rFonts w:ascii="Times New Roman" w:hAnsi="Times New Roman"/>
          <w:sz w:val="18"/>
        </w:rPr>
        <w:t>Rasin and Abdullah [2] developed a water quality monitoring system using ZigBee wireless communication, demonstrating real-time data acquisition. However, they did not incorporate a user-facing application or financial transaction capability.</w:t>
      </w:r>
    </w:p>
    <w:p>
      <w:pPr>
        <w:spacing w:after="60"/>
        <w:ind w:firstLine="283"/>
        <w:jc w:val="both"/>
      </w:pPr>
      <w:r>
        <w:rPr>
          <w:rFonts w:ascii="Times New Roman" w:hAnsi="Times New Roman"/>
          <w:sz w:val="18"/>
        </w:rPr>
        <w:t>More recent work by Kumar et al. [3] described a cloud-integrated water ATM in rural India using RFID cards and a prepaid balance system. While effective, RFID-based solutions require physical card infrastructure. Our approach replaces physical cards with a browser-based QR/UPI payment via the Cashfree gateway, requiring only a smartphone.</w:t>
      </w:r>
    </w:p>
    <w:p>
      <w:pPr>
        <w:spacing w:after="60"/>
        <w:ind w:firstLine="283"/>
        <w:jc w:val="both"/>
      </w:pPr>
      <w:r>
        <w:rPr>
          <w:rFonts w:ascii="Times New Roman" w:hAnsi="Times New Roman"/>
          <w:sz w:val="18"/>
        </w:rPr>
        <w:t>None of the surveyed systems provided: (a) a modern responsive React.js dashboard, (b) a persistent admin panel with live multi-site sensor readings, (c) map-based geolocation of dispensers, or (d) role-based session management using browser localStorage. The present work addresses all four gaps.</w:t>
      </w:r>
    </w:p>
    <w:p>
      <w:pPr>
        <w:spacing w:before="120" w:after="60"/>
        <w:jc w:val="left"/>
      </w:pPr>
      <w:r>
        <w:rPr>
          <w:rFonts w:ascii="Times New Roman" w:hAnsi="Times New Roman"/>
          <w:b/>
          <w:sz w:val="18"/>
        </w:rPr>
        <w:t>III. SYSTEM ARCHITECTURE</w:t>
      </w:r>
    </w:p>
    <w:p>
      <w:pPr>
        <w:spacing w:after="60"/>
        <w:ind w:firstLine="283"/>
        <w:jc w:val="both"/>
      </w:pPr>
      <w:r>
        <w:rPr>
          <w:rFonts w:ascii="Times New Roman" w:hAnsi="Times New Roman"/>
          <w:sz w:val="18"/>
        </w:rPr>
        <w:t>The system adopts a three-tier architecture: (1) the sensing/hardware layer, (2) the backend service layer, and (3) the frontend presentation layer. Figure 1 illustrates the overall architecture.</w:t>
      </w:r>
    </w:p>
    <w:p>
      <w:pPr>
        <w:spacing w:before="80" w:after="40"/>
      </w:pPr>
      <w:r>
        <w:rPr>
          <w:rFonts w:ascii="Times New Roman" w:hAnsi="Times New Roman"/>
          <w:b/>
          <w:i/>
          <w:sz w:val="18"/>
        </w:rPr>
        <w:t>A. Hardware Layer</w:t>
      </w:r>
    </w:p>
    <w:p>
      <w:pPr>
        <w:spacing w:after="60"/>
        <w:ind w:firstLine="283"/>
        <w:jc w:val="both"/>
      </w:pPr>
      <w:r>
        <w:rPr>
          <w:rFonts w:ascii="Times New Roman" w:hAnsi="Times New Roman"/>
          <w:sz w:val="18"/>
        </w:rPr>
        <w:t>The hardware layer consists of an IoT microcontroller (e.g., ESP32 or Arduino Mega) interfaced with eight sensors: TDS sensor, turbidity sensor, pH electrode, dissolved oxygen probe, water temperature probe (DS18B20), ambient temperature sensor (DHT22), ultrasonic water-level sensor, and a hall-effect flow meter. A 5 V solenoid valve controls water flow, actuated by the microcontroller based on payment confirmation signals received over MQTT or HTTP.</w:t>
      </w:r>
    </w:p>
    <w:p>
      <w:pPr>
        <w:spacing w:before="80" w:after="40"/>
      </w:pPr>
      <w:r>
        <w:rPr>
          <w:rFonts w:ascii="Times New Roman" w:hAnsi="Times New Roman"/>
          <w:b/>
          <w:i/>
          <w:sz w:val="18"/>
        </w:rPr>
        <w:t>B. Backend Service Layer</w:t>
      </w:r>
    </w:p>
    <w:p>
      <w:pPr>
        <w:spacing w:after="60"/>
        <w:ind w:firstLine="283"/>
        <w:jc w:val="both"/>
      </w:pPr>
      <w:r>
        <w:rPr>
          <w:rFonts w:ascii="Times New Roman" w:hAnsi="Times New Roman"/>
          <w:sz w:val="18"/>
        </w:rPr>
        <w:t>The backend is implemented in Node.js with the Express.js framework. It exposes a RESTful API for tank management, payment order creation, and payment verification. Mongoose is used as the ODM for MongoDB Atlas, where a Tank document stores tank_capacity, remaining water, TDS, and dispensing request data. The Cashfree PG SDK handles order creation and status polling. Environment variables are managed via dotenv (.env files), keeping secrets out of version control.</w:t>
      </w:r>
    </w:p>
    <w:p>
      <w:pPr>
        <w:spacing w:before="80" w:after="40"/>
      </w:pPr>
      <w:r>
        <w:rPr>
          <w:rFonts w:ascii="Times New Roman" w:hAnsi="Times New Roman"/>
          <w:b/>
          <w:i/>
          <w:sz w:val="18"/>
        </w:rPr>
        <w:t>C. Frontend Presentation Layer</w:t>
      </w:r>
    </w:p>
    <w:p>
      <w:pPr>
        <w:spacing w:after="60"/>
        <w:ind w:firstLine="283"/>
        <w:jc w:val="both"/>
      </w:pPr>
      <w:r>
        <w:rPr>
          <w:rFonts w:ascii="Times New Roman" w:hAnsi="Times New Roman"/>
          <w:sz w:val="18"/>
        </w:rPr>
        <w:t>The frontend is a Vite-bundled React.js single-page application (SPA) styled with Tailwind CSS. The customer-facing view presents a water-jar animation showing tank level, a preset-liters selection dropdown, an amount/mobile input form, and a Pay Now button. The admin panel is a full-screen overlay with a dark-theme sidebar and white content area, accessible only after successful credential verification.</w:t>
      </w:r>
    </w:p>
    <w:p>
      <w:pPr>
        <w:spacing w:before="120" w:after="60"/>
        <w:jc w:val="left"/>
      </w:pPr>
      <w:r>
        <w:rPr>
          <w:rFonts w:ascii="Times New Roman" w:hAnsi="Times New Roman"/>
          <w:b/>
          <w:sz w:val="18"/>
        </w:rPr>
        <w:t>IV. SENSOR PARAMETERS AND MONITORING</w:t>
      </w:r>
    </w:p>
    <w:p>
      <w:pPr>
        <w:spacing w:after="60"/>
        <w:ind w:firstLine="283"/>
        <w:jc w:val="both"/>
      </w:pPr>
      <w:r>
        <w:rPr>
          <w:rFonts w:ascii="Times New Roman" w:hAnsi="Times New Roman"/>
          <w:sz w:val="18"/>
        </w:rPr>
        <w:t>The system monitors eight parameters that collectively characterise water quality and operational status. Table I summarises each parameter, its sensor type, measurement unit, and acceptable range for drinking water.</w:t>
      </w:r>
    </w:p>
    <w:p>
      <w:pPr>
        <w:spacing w:after="80"/>
        <w:jc w:val="center"/>
      </w:pPr>
      <w:r>
        <w:rPr>
          <w:rFonts w:ascii="Times New Roman" w:hAnsi="Times New Roman"/>
          <w:b/>
          <w:sz w:val="16"/>
        </w:rPr>
        <w:t>TABLE I.  Monitored Parameters and Sensor Specifications</w:t>
      </w:r>
    </w:p>
    <w:tbl>
      <w:tblPr>
        <w:tblStyle w:val="TableGrid"/>
        <w:tblW w:type="auto" w:w="0"/>
        <w:tblLook w:firstColumn="1" w:firstRow="1" w:lastColumn="0" w:lastRow="0" w:noHBand="0" w:noVBand="1" w:val="04A0"/>
      </w:tblPr>
      <w:tblGrid>
        <w:gridCol w:w="2606"/>
        <w:gridCol w:w="2606"/>
        <w:gridCol w:w="2606"/>
        <w:gridCol w:w="2606"/>
      </w:tblGrid>
      <w:tr>
        <w:tc>
          <w:tcPr>
            <w:tcW w:type="dxa" w:w="2606"/>
          </w:tcPr>
          <w:p>
            <w:r>
              <w:rPr>
                <w:rFonts w:ascii="Times New Roman" w:hAnsi="Times New Roman"/>
                <w:b/>
                <w:sz w:val="16"/>
              </w:rPr>
              <w:t>Parameter</w:t>
            </w:r>
          </w:p>
        </w:tc>
        <w:tc>
          <w:tcPr>
            <w:tcW w:type="dxa" w:w="2606"/>
          </w:tcPr>
          <w:p>
            <w:r>
              <w:rPr>
                <w:rFonts w:ascii="Times New Roman" w:hAnsi="Times New Roman"/>
                <w:b/>
                <w:sz w:val="16"/>
              </w:rPr>
              <w:t>Sensor / Method</w:t>
            </w:r>
          </w:p>
        </w:tc>
        <w:tc>
          <w:tcPr>
            <w:tcW w:type="dxa" w:w="2606"/>
          </w:tcPr>
          <w:p>
            <w:r>
              <w:rPr>
                <w:rFonts w:ascii="Times New Roman" w:hAnsi="Times New Roman"/>
                <w:b/>
                <w:sz w:val="16"/>
              </w:rPr>
              <w:t>Unit</w:t>
            </w:r>
          </w:p>
        </w:tc>
        <w:tc>
          <w:tcPr>
            <w:tcW w:type="dxa" w:w="2606"/>
          </w:tcPr>
          <w:p>
            <w:r>
              <w:rPr>
                <w:rFonts w:ascii="Times New Roman" w:hAnsi="Times New Roman"/>
                <w:b/>
                <w:sz w:val="16"/>
              </w:rPr>
              <w:t>Safe Range</w:t>
            </w:r>
          </w:p>
        </w:tc>
      </w:tr>
      <w:tr>
        <w:tc>
          <w:tcPr>
            <w:tcW w:type="dxa" w:w="2606"/>
          </w:tcPr>
          <w:p>
            <w:r>
              <w:rPr>
                <w:rFonts w:ascii="Times New Roman" w:hAnsi="Times New Roman"/>
                <w:sz w:val="16"/>
              </w:rPr>
              <w:t>Water Capacity</w:t>
            </w:r>
          </w:p>
        </w:tc>
        <w:tc>
          <w:tcPr>
            <w:tcW w:type="dxa" w:w="2606"/>
          </w:tcPr>
          <w:p>
            <w:r>
              <w:rPr>
                <w:rFonts w:ascii="Times New Roman" w:hAnsi="Times New Roman"/>
                <w:sz w:val="16"/>
              </w:rPr>
              <w:t>Ultrasonic / Tank geometry</w:t>
            </w:r>
          </w:p>
        </w:tc>
        <w:tc>
          <w:tcPr>
            <w:tcW w:type="dxa" w:w="2606"/>
          </w:tcPr>
          <w:p>
            <w:r>
              <w:rPr>
                <w:rFonts w:ascii="Times New Roman" w:hAnsi="Times New Roman"/>
                <w:sz w:val="16"/>
              </w:rPr>
              <w:t>Litres</w:t>
            </w:r>
          </w:p>
        </w:tc>
        <w:tc>
          <w:tcPr>
            <w:tcW w:type="dxa" w:w="2606"/>
          </w:tcPr>
          <w:p>
            <w:r>
              <w:rPr>
                <w:rFonts w:ascii="Times New Roman" w:hAnsi="Times New Roman"/>
                <w:sz w:val="16"/>
              </w:rPr>
              <w:t>0 – 500 L</w:t>
            </w:r>
          </w:p>
        </w:tc>
      </w:tr>
      <w:tr>
        <w:tc>
          <w:tcPr>
            <w:tcW w:type="dxa" w:w="2606"/>
          </w:tcPr>
          <w:p>
            <w:r>
              <w:rPr>
                <w:rFonts w:ascii="Times New Roman" w:hAnsi="Times New Roman"/>
                <w:sz w:val="16"/>
              </w:rPr>
              <w:t>Water Temp.</w:t>
            </w:r>
          </w:p>
        </w:tc>
        <w:tc>
          <w:tcPr>
            <w:tcW w:type="dxa" w:w="2606"/>
          </w:tcPr>
          <w:p>
            <w:r>
              <w:rPr>
                <w:rFonts w:ascii="Times New Roman" w:hAnsi="Times New Roman"/>
                <w:sz w:val="16"/>
              </w:rPr>
              <w:t>DS18B20 Probe</w:t>
            </w:r>
          </w:p>
        </w:tc>
        <w:tc>
          <w:tcPr>
            <w:tcW w:type="dxa" w:w="2606"/>
          </w:tcPr>
          <w:p>
            <w:r>
              <w:rPr>
                <w:rFonts w:ascii="Times New Roman" w:hAnsi="Times New Roman"/>
                <w:sz w:val="16"/>
              </w:rPr>
              <w:t>°C</w:t>
            </w:r>
          </w:p>
        </w:tc>
        <w:tc>
          <w:tcPr>
            <w:tcW w:type="dxa" w:w="2606"/>
          </w:tcPr>
          <w:p>
            <w:r>
              <w:rPr>
                <w:rFonts w:ascii="Times New Roman" w:hAnsi="Times New Roman"/>
                <w:sz w:val="16"/>
              </w:rPr>
              <w:t>15 – 25 °C</w:t>
            </w:r>
          </w:p>
        </w:tc>
      </w:tr>
      <w:tr>
        <w:tc>
          <w:tcPr>
            <w:tcW w:type="dxa" w:w="2606"/>
          </w:tcPr>
          <w:p>
            <w:r>
              <w:rPr>
                <w:rFonts w:ascii="Times New Roman" w:hAnsi="Times New Roman"/>
                <w:sz w:val="16"/>
              </w:rPr>
              <w:t>Water Level</w:t>
            </w:r>
          </w:p>
        </w:tc>
        <w:tc>
          <w:tcPr>
            <w:tcW w:type="dxa" w:w="2606"/>
          </w:tcPr>
          <w:p>
            <w:r>
              <w:rPr>
                <w:rFonts w:ascii="Times New Roman" w:hAnsi="Times New Roman"/>
                <w:sz w:val="16"/>
              </w:rPr>
              <w:t>Ultrasonic HC-SR04</w:t>
            </w:r>
          </w:p>
        </w:tc>
        <w:tc>
          <w:tcPr>
            <w:tcW w:type="dxa" w:w="2606"/>
          </w:tcPr>
          <w:p>
            <w:r>
              <w:rPr>
                <w:rFonts w:ascii="Times New Roman" w:hAnsi="Times New Roman"/>
                <w:sz w:val="16"/>
              </w:rPr>
              <w:t>%</w:t>
            </w:r>
          </w:p>
        </w:tc>
        <w:tc>
          <w:tcPr>
            <w:tcW w:type="dxa" w:w="2606"/>
          </w:tcPr>
          <w:p>
            <w:r>
              <w:rPr>
                <w:rFonts w:ascii="Times New Roman" w:hAnsi="Times New Roman"/>
                <w:sz w:val="16"/>
              </w:rPr>
              <w:t>10 – 100 %</w:t>
            </w:r>
          </w:p>
        </w:tc>
      </w:tr>
      <w:tr>
        <w:tc>
          <w:tcPr>
            <w:tcW w:type="dxa" w:w="2606"/>
          </w:tcPr>
          <w:p>
            <w:r>
              <w:rPr>
                <w:rFonts w:ascii="Times New Roman" w:hAnsi="Times New Roman"/>
                <w:sz w:val="16"/>
              </w:rPr>
              <w:t>Env. Temp.</w:t>
            </w:r>
          </w:p>
        </w:tc>
        <w:tc>
          <w:tcPr>
            <w:tcW w:type="dxa" w:w="2606"/>
          </w:tcPr>
          <w:p>
            <w:r>
              <w:rPr>
                <w:rFonts w:ascii="Times New Roman" w:hAnsi="Times New Roman"/>
                <w:sz w:val="16"/>
              </w:rPr>
              <w:t>DHT22</w:t>
            </w:r>
          </w:p>
        </w:tc>
        <w:tc>
          <w:tcPr>
            <w:tcW w:type="dxa" w:w="2606"/>
          </w:tcPr>
          <w:p>
            <w:r>
              <w:rPr>
                <w:rFonts w:ascii="Times New Roman" w:hAnsi="Times New Roman"/>
                <w:sz w:val="16"/>
              </w:rPr>
              <w:t>°C</w:t>
            </w:r>
          </w:p>
        </w:tc>
        <w:tc>
          <w:tcPr>
            <w:tcW w:type="dxa" w:w="2606"/>
          </w:tcPr>
          <w:p>
            <w:r>
              <w:rPr>
                <w:rFonts w:ascii="Times New Roman" w:hAnsi="Times New Roman"/>
                <w:sz w:val="16"/>
              </w:rPr>
              <w:t>0 – 45 °C</w:t>
            </w:r>
          </w:p>
        </w:tc>
      </w:tr>
      <w:tr>
        <w:tc>
          <w:tcPr>
            <w:tcW w:type="dxa" w:w="2606"/>
          </w:tcPr>
          <w:p>
            <w:r>
              <w:rPr>
                <w:rFonts w:ascii="Times New Roman" w:hAnsi="Times New Roman"/>
                <w:sz w:val="16"/>
              </w:rPr>
              <w:t>Dissolved O₂</w:t>
            </w:r>
          </w:p>
        </w:tc>
        <w:tc>
          <w:tcPr>
            <w:tcW w:type="dxa" w:w="2606"/>
          </w:tcPr>
          <w:p>
            <w:r>
              <w:rPr>
                <w:rFonts w:ascii="Times New Roman" w:hAnsi="Times New Roman"/>
                <w:sz w:val="16"/>
              </w:rPr>
              <w:t>DO Probe</w:t>
            </w:r>
          </w:p>
        </w:tc>
        <w:tc>
          <w:tcPr>
            <w:tcW w:type="dxa" w:w="2606"/>
          </w:tcPr>
          <w:p>
            <w:r>
              <w:rPr>
                <w:rFonts w:ascii="Times New Roman" w:hAnsi="Times New Roman"/>
                <w:sz w:val="16"/>
              </w:rPr>
              <w:t>mg/L</w:t>
            </w:r>
          </w:p>
        </w:tc>
        <w:tc>
          <w:tcPr>
            <w:tcW w:type="dxa" w:w="2606"/>
          </w:tcPr>
          <w:p>
            <w:r>
              <w:rPr>
                <w:rFonts w:ascii="Times New Roman" w:hAnsi="Times New Roman"/>
                <w:sz w:val="16"/>
              </w:rPr>
              <w:t>6 – 14 mg/L</w:t>
            </w:r>
          </w:p>
        </w:tc>
      </w:tr>
      <w:tr>
        <w:tc>
          <w:tcPr>
            <w:tcW w:type="dxa" w:w="2606"/>
          </w:tcPr>
          <w:p>
            <w:r>
              <w:rPr>
                <w:rFonts w:ascii="Times New Roman" w:hAnsi="Times New Roman"/>
                <w:sz w:val="16"/>
              </w:rPr>
              <w:t>Turbidity</w:t>
            </w:r>
          </w:p>
        </w:tc>
        <w:tc>
          <w:tcPr>
            <w:tcW w:type="dxa" w:w="2606"/>
          </w:tcPr>
          <w:p>
            <w:r>
              <w:rPr>
                <w:rFonts w:ascii="Times New Roman" w:hAnsi="Times New Roman"/>
                <w:sz w:val="16"/>
              </w:rPr>
              <w:t>Optical Sensor</w:t>
            </w:r>
          </w:p>
        </w:tc>
        <w:tc>
          <w:tcPr>
            <w:tcW w:type="dxa" w:w="2606"/>
          </w:tcPr>
          <w:p>
            <w:r>
              <w:rPr>
                <w:rFonts w:ascii="Times New Roman" w:hAnsi="Times New Roman"/>
                <w:sz w:val="16"/>
              </w:rPr>
              <w:t>NTU</w:t>
            </w:r>
          </w:p>
        </w:tc>
        <w:tc>
          <w:tcPr>
            <w:tcW w:type="dxa" w:w="2606"/>
          </w:tcPr>
          <w:p>
            <w:r>
              <w:rPr>
                <w:rFonts w:ascii="Times New Roman" w:hAnsi="Times New Roman"/>
                <w:sz w:val="16"/>
              </w:rPr>
              <w:t>&lt; 1 NTU</w:t>
            </w:r>
          </w:p>
        </w:tc>
      </w:tr>
      <w:tr>
        <w:tc>
          <w:tcPr>
            <w:tcW w:type="dxa" w:w="2606"/>
          </w:tcPr>
          <w:p>
            <w:r>
              <w:rPr>
                <w:rFonts w:ascii="Times New Roman" w:hAnsi="Times New Roman"/>
                <w:sz w:val="16"/>
              </w:rPr>
              <w:t>TDS</w:t>
            </w:r>
          </w:p>
        </w:tc>
        <w:tc>
          <w:tcPr>
            <w:tcW w:type="dxa" w:w="2606"/>
          </w:tcPr>
          <w:p>
            <w:r>
              <w:rPr>
                <w:rFonts w:ascii="Times New Roman" w:hAnsi="Times New Roman"/>
                <w:sz w:val="16"/>
              </w:rPr>
              <w:t>Conductivity Probe</w:t>
            </w:r>
          </w:p>
        </w:tc>
        <w:tc>
          <w:tcPr>
            <w:tcW w:type="dxa" w:w="2606"/>
          </w:tcPr>
          <w:p>
            <w:r>
              <w:rPr>
                <w:rFonts w:ascii="Times New Roman" w:hAnsi="Times New Roman"/>
                <w:sz w:val="16"/>
              </w:rPr>
              <w:t>ppm</w:t>
            </w:r>
          </w:p>
        </w:tc>
        <w:tc>
          <w:tcPr>
            <w:tcW w:type="dxa" w:w="2606"/>
          </w:tcPr>
          <w:p>
            <w:r>
              <w:rPr>
                <w:rFonts w:ascii="Times New Roman" w:hAnsi="Times New Roman"/>
                <w:sz w:val="16"/>
              </w:rPr>
              <w:t>&lt; 500 ppm</w:t>
            </w:r>
          </w:p>
        </w:tc>
      </w:tr>
      <w:tr>
        <w:tc>
          <w:tcPr>
            <w:tcW w:type="dxa" w:w="2606"/>
          </w:tcPr>
          <w:p>
            <w:r>
              <w:rPr>
                <w:rFonts w:ascii="Times New Roman" w:hAnsi="Times New Roman"/>
                <w:sz w:val="16"/>
              </w:rPr>
              <w:t>pH Level</w:t>
            </w:r>
          </w:p>
        </w:tc>
        <w:tc>
          <w:tcPr>
            <w:tcW w:type="dxa" w:w="2606"/>
          </w:tcPr>
          <w:p>
            <w:r>
              <w:rPr>
                <w:rFonts w:ascii="Times New Roman" w:hAnsi="Times New Roman"/>
                <w:sz w:val="16"/>
              </w:rPr>
              <w:t>pH Electrode</w:t>
            </w:r>
          </w:p>
        </w:tc>
        <w:tc>
          <w:tcPr>
            <w:tcW w:type="dxa" w:w="2606"/>
          </w:tcPr>
          <w:p>
            <w:r>
              <w:rPr>
                <w:rFonts w:ascii="Times New Roman" w:hAnsi="Times New Roman"/>
                <w:sz w:val="16"/>
              </w:rPr>
            </w:r>
          </w:p>
        </w:tc>
        <w:tc>
          <w:tcPr>
            <w:tcW w:type="dxa" w:w="2606"/>
          </w:tcPr>
          <w:p>
            <w:r>
              <w:rPr>
                <w:rFonts w:ascii="Times New Roman" w:hAnsi="Times New Roman"/>
                <w:sz w:val="16"/>
              </w:rPr>
              <w:t>6.5 – 8.5</w:t>
            </w:r>
          </w:p>
        </w:tc>
      </w:tr>
    </w:tbl>
    <w:p/>
    <w:p>
      <w:pPr>
        <w:spacing w:after="60"/>
        <w:ind w:firstLine="283"/>
        <w:jc w:val="both"/>
      </w:pPr>
      <w:r>
        <w:rPr>
          <w:rFonts w:ascii="Times New Roman" w:hAnsi="Times New Roman"/>
          <w:sz w:val="18"/>
        </w:rPr>
        <w:t>All eight sensor readings are published to the backend API every four seconds and displayed in the admin dashboard as animated metric cards. Each card includes a coloured accent stripe, an icon, and a live numeric value with its unit, allowing operators to detect anomalies at a glance.</w:t>
      </w:r>
    </w:p>
    <w:p>
      <w:pPr>
        <w:spacing w:before="120" w:after="60"/>
        <w:jc w:val="left"/>
      </w:pPr>
      <w:r>
        <w:rPr>
          <w:rFonts w:ascii="Times New Roman" w:hAnsi="Times New Roman"/>
          <w:b/>
          <w:sz w:val="18"/>
        </w:rPr>
        <w:t>V. BACKEND API DESIGN</w:t>
      </w:r>
    </w:p>
    <w:p>
      <w:pPr>
        <w:spacing w:after="60"/>
        <w:ind w:firstLine="283"/>
        <w:jc w:val="both"/>
      </w:pPr>
      <w:r>
        <w:rPr>
          <w:rFonts w:ascii="Times New Roman" w:hAnsi="Times New Roman"/>
          <w:sz w:val="18"/>
        </w:rPr>
        <w:t>The Node.js/Express backend exposes the following primary endpoints:</w:t>
      </w:r>
    </w:p>
    <w:p>
      <w:pPr>
        <w:spacing w:before="80" w:after="40"/>
      </w:pPr>
      <w:r>
        <w:rPr>
          <w:rFonts w:ascii="Times New Roman" w:hAnsi="Times New Roman"/>
          <w:b/>
          <w:i/>
          <w:sz w:val="18"/>
        </w:rPr>
        <w:t>A. Tank Endpoints</w:t>
      </w:r>
    </w:p>
    <w:p>
      <w:pPr>
        <w:spacing w:after="60"/>
        <w:ind w:firstLine="283"/>
        <w:jc w:val="both"/>
      </w:pPr>
      <w:r>
        <w:rPr>
          <w:rFonts w:ascii="Times New Roman" w:hAnsi="Times New Roman"/>
          <w:sz w:val="18"/>
        </w:rPr>
        <w:t>GET /tank — Retrieves current tank state (capacity, remaining water, TDS, deducted water). Creates a default document if none exists. PUT /tank — Updates tank fields; supports manual override of deducted water. DELETE /tank — Resets the tank to factory defaults (4000 L, TDS 150 ppm).</w:t>
      </w:r>
    </w:p>
    <w:p>
      <w:pPr>
        <w:spacing w:before="80" w:after="40"/>
      </w:pPr>
      <w:r>
        <w:rPr>
          <w:rFonts w:ascii="Times New Roman" w:hAnsi="Times New Roman"/>
          <w:b/>
          <w:i/>
          <w:sz w:val="18"/>
        </w:rPr>
        <w:t>B. Dispensing Request</w:t>
      </w:r>
    </w:p>
    <w:p>
      <w:pPr>
        <w:spacing w:after="60"/>
        <w:ind w:firstLine="283"/>
        <w:jc w:val="both"/>
      </w:pPr>
      <w:r>
        <w:rPr>
          <w:rFonts w:ascii="Times New Roman" w:hAnsi="Times New Roman"/>
          <w:sz w:val="18"/>
        </w:rPr>
        <w:t>POST /tank/request — Validates the requested volume against available water and stores the pending request in the Tank document. Returns HTTP 400 with error code INSUFFICIENT_WATER if the request exceeds remaining volume.</w:t>
      </w:r>
    </w:p>
    <w:p>
      <w:pPr>
        <w:spacing w:before="80" w:after="40"/>
      </w:pPr>
      <w:r>
        <w:rPr>
          <w:rFonts w:ascii="Times New Roman" w:hAnsi="Times New Roman"/>
          <w:b/>
          <w:i/>
          <w:sz w:val="18"/>
        </w:rPr>
        <w:t>C. Payment Endpoints</w:t>
      </w:r>
    </w:p>
    <w:p>
      <w:pPr>
        <w:spacing w:after="60"/>
        <w:ind w:firstLine="283"/>
        <w:jc w:val="both"/>
      </w:pPr>
      <w:r>
        <w:rPr>
          <w:rFonts w:ascii="Times New Roman" w:hAnsi="Times New Roman"/>
          <w:sz w:val="18"/>
        </w:rPr>
        <w:t>POST /create-order — Invokes the Cashfree PG SDK to create a payment order and returns a payment_session_id to the frontend for Cashfree checkout. GET /payment-success — Verifies order status via PGFetchOrder; on PAID status deducts the dispensed volume from the Tank document, saves an order record to order.json, and redirects to a printable bill page (bill.html).</w:t>
      </w:r>
    </w:p>
    <w:p>
      <w:pPr>
        <w:spacing w:before="120" w:after="60"/>
        <w:jc w:val="left"/>
      </w:pPr>
      <w:r>
        <w:rPr>
          <w:rFonts w:ascii="Times New Roman" w:hAnsi="Times New Roman"/>
          <w:b/>
          <w:sz w:val="18"/>
        </w:rPr>
        <w:t>VI. ADMIN PANEL FEATURES</w:t>
      </w:r>
    </w:p>
    <w:p>
      <w:pPr>
        <w:spacing w:after="60"/>
        <w:ind w:firstLine="283"/>
        <w:jc w:val="both"/>
      </w:pPr>
      <w:r>
        <w:rPr>
          <w:rFonts w:ascii="Times New Roman" w:hAnsi="Times New Roman"/>
          <w:sz w:val="18"/>
        </w:rPr>
        <w:t>The admin panel is a full-screen React.js overlay with a dark sidebar (linear-gradient: rgb(10,15,30) → rgb(13,27,42) → rgb(10,25,47)) and a white content area. It is accessible only after credential verification and the session is persisted in browser localStorage so that page refresh does not force re-login. Session is cleared only when the user explicitly clicks 'Exit Panel'.</w:t>
      </w:r>
    </w:p>
    <w:p>
      <w:pPr>
        <w:spacing w:before="80" w:after="40"/>
      </w:pPr>
      <w:r>
        <w:rPr>
          <w:rFonts w:ascii="Times New Roman" w:hAnsi="Times New Roman"/>
          <w:b/>
          <w:i/>
          <w:sz w:val="18"/>
        </w:rPr>
        <w:t>A. Login and Authentication</w:t>
      </w:r>
    </w:p>
    <w:p>
      <w:pPr>
        <w:spacing w:after="60"/>
        <w:ind w:firstLine="283"/>
        <w:jc w:val="both"/>
      </w:pPr>
      <w:r>
        <w:rPr>
          <w:rFonts w:ascii="Times New Roman" w:hAnsi="Times New Roman"/>
          <w:sz w:val="18"/>
        </w:rPr>
        <w:t>A floating 'Admin Login' button is fixed at the top-right corner of the main page. Clicking it opens a two-panel modal: the left panel features an animated SVG water drop with rising bubble animations; the right panel presents the login form with Admin ID, Password (with show/hide toggle), and a 'Forgot Password?' link. The forgot-password flow accepts a pre-shared recovery key (stored in .env as VITE_ADMIN_RECOVERY_KEY) and, on verification, displays the admin credentials. A 'Resend Key' button includes a 30-second cooldown.</w:t>
      </w:r>
    </w:p>
    <w:p>
      <w:pPr>
        <w:spacing w:before="80" w:after="40"/>
      </w:pPr>
      <w:r>
        <w:rPr>
          <w:rFonts w:ascii="Times New Roman" w:hAnsi="Times New Roman"/>
          <w:b/>
          <w:i/>
          <w:sz w:val="18"/>
        </w:rPr>
        <w:t>B. Dashboard Tab</w:t>
      </w:r>
    </w:p>
    <w:p>
      <w:pPr>
        <w:spacing w:after="60"/>
        <w:ind w:firstLine="283"/>
        <w:jc w:val="both"/>
      </w:pPr>
      <w:r>
        <w:rPr>
          <w:rFonts w:ascii="Times New Roman" w:hAnsi="Times New Roman"/>
          <w:sz w:val="18"/>
        </w:rPr>
        <w:t>The dashboard displays eight sensor metric cards arranged in a responsive grid. Each card features a coloured top-strip, an emoji icon, a large numeric value, and a unit label. A dispenser selector (pill buttons) above the grid allows the admin to switch between dispensing nodes. Data refreshes every four seconds, with a pulsing green 'Live' indicator in the top bar.</w:t>
      </w:r>
    </w:p>
    <w:p>
      <w:pPr>
        <w:spacing w:before="80" w:after="40"/>
      </w:pPr>
      <w:r>
        <w:rPr>
          <w:rFonts w:ascii="Times New Roman" w:hAnsi="Times New Roman"/>
          <w:b/>
          <w:i/>
          <w:sz w:val="18"/>
        </w:rPr>
        <w:t>C. Dispensers Tab</w:t>
      </w:r>
    </w:p>
    <w:p>
      <w:pPr>
        <w:spacing w:after="60"/>
        <w:ind w:firstLine="283"/>
        <w:jc w:val="both"/>
      </w:pPr>
      <w:r>
        <w:rPr>
          <w:rFonts w:ascii="Times New Roman" w:hAnsi="Times New Roman"/>
          <w:sz w:val="18"/>
        </w:rPr>
        <w:t>The Dispensers tab presents a data table listing all registered dispensing nodes with columns: place name, latitude, longitude, status (active/inactive), TDS, pH, and water level. An 'Add Dispenser' form allows the admin to register new nodes by entering a place name, latitude, and longitude. Rows are clickable and navigate to the Dashboard tab with the selected dispenser pre-selected.</w:t>
      </w:r>
    </w:p>
    <w:p>
      <w:pPr>
        <w:spacing w:before="80" w:after="40"/>
      </w:pPr>
      <w:r>
        <w:rPr>
          <w:rFonts w:ascii="Times New Roman" w:hAnsi="Times New Roman"/>
          <w:b/>
          <w:i/>
          <w:sz w:val="18"/>
        </w:rPr>
        <w:t>D. Live Map Tab</w:t>
      </w:r>
    </w:p>
    <w:p>
      <w:pPr>
        <w:spacing w:after="60"/>
        <w:ind w:firstLine="283"/>
        <w:jc w:val="both"/>
      </w:pPr>
      <w:r>
        <w:rPr>
          <w:rFonts w:ascii="Times New Roman" w:hAnsi="Times New Roman"/>
          <w:sz w:val="18"/>
        </w:rPr>
        <w:t>The Live Map tab embeds a Leaflet.js OpenStreetMap instance, dynamically loaded from CDN. Each dispenser node is represented by a colour-coded pin (cyan for active, red for inactive) with a popup showing name, status, and TDS value. A side legend lists all nodes with their coordinates and latest sensor readings.</w:t>
      </w:r>
    </w:p>
    <w:p>
      <w:pPr>
        <w:spacing w:before="80" w:after="40"/>
      </w:pPr>
      <w:r>
        <w:rPr>
          <w:rFonts w:ascii="Times New Roman" w:hAnsi="Times New Roman"/>
          <w:b/>
          <w:i/>
          <w:sz w:val="18"/>
        </w:rPr>
        <w:t>E. Credentials Tab</w:t>
      </w:r>
    </w:p>
    <w:p>
      <w:pPr>
        <w:spacing w:after="60"/>
        <w:ind w:firstLine="283"/>
        <w:jc w:val="both"/>
      </w:pPr>
      <w:r>
        <w:rPr>
          <w:rFonts w:ascii="Times New Roman" w:hAnsi="Times New Roman"/>
          <w:sz w:val="18"/>
        </w:rPr>
        <w:t>The Credentials tab displays the admin ID, password, and recovery key in a secure card with a warning notice. Values are read from the VITE_ prefixed environment variables at build time, keeping sensitive data out of source code.</w:t>
      </w:r>
    </w:p>
    <w:p>
      <w:pPr>
        <w:spacing w:before="120" w:after="60"/>
        <w:jc w:val="left"/>
      </w:pPr>
      <w:r>
        <w:rPr>
          <w:rFonts w:ascii="Times New Roman" w:hAnsi="Times New Roman"/>
          <w:b/>
          <w:sz w:val="18"/>
        </w:rPr>
        <w:t>VII. PAYMENT INTEGRATION</w:t>
      </w:r>
    </w:p>
    <w:p>
      <w:pPr>
        <w:spacing w:after="60"/>
        <w:ind w:firstLine="283"/>
        <w:jc w:val="both"/>
      </w:pPr>
      <w:r>
        <w:rPr>
          <w:rFonts w:ascii="Times New Roman" w:hAnsi="Times New Roman"/>
          <w:sz w:val="18"/>
        </w:rPr>
        <w:t>The Cashfree Payment Gateway (sandbox mode) is integrated using the official cashfree-pg Node.js SDK (backend) and @cashfreepayments/cashfree-js (frontend). The payment flow is as follows:</w:t>
      </w:r>
    </w:p>
    <w:p>
      <w:pPr>
        <w:spacing w:after="60"/>
        <w:ind w:firstLine="283"/>
        <w:jc w:val="both"/>
      </w:pPr>
      <w:r>
        <w:rPr>
          <w:rFonts w:ascii="Times New Roman" w:hAnsi="Times New Roman"/>
          <w:sz w:val="18"/>
        </w:rPr>
        <w:t>1. The user selects a volume (preset or custom), which auto-calculates the amount at ₹5 per litre. The mobile number is entered as the customer identifier.</w:t>
      </w:r>
    </w:p>
    <w:p>
      <w:pPr>
        <w:spacing w:after="60"/>
        <w:ind w:firstLine="283"/>
        <w:jc w:val="both"/>
      </w:pPr>
      <w:r>
        <w:rPr>
          <w:rFonts w:ascii="Times New Roman" w:hAnsi="Times New Roman"/>
          <w:sz w:val="18"/>
        </w:rPr>
        <w:t>2. On clicking 'Pay Now', the frontend posts to /tank/request (reserves volume) then to /create-order (creates a Cashfree order). The backend returns a payment_session_id.</w:t>
      </w:r>
    </w:p>
    <w:p>
      <w:pPr>
        <w:spacing w:after="60"/>
        <w:ind w:firstLine="283"/>
        <w:jc w:val="both"/>
      </w:pPr>
      <w:r>
        <w:rPr>
          <w:rFonts w:ascii="Times New Roman" w:hAnsi="Times New Roman"/>
          <w:sz w:val="18"/>
        </w:rPr>
        <w:t>3. The frontend SDK launches the Cashfree payment sheet. On successful payment, Cashfree redirects to /payment-success, where the backend verifies the order, deducts the dispensed volume, logs the order, and redirects to bill.html for a printable receipt.</w:t>
      </w:r>
    </w:p>
    <w:p>
      <w:pPr>
        <w:spacing w:before="120" w:after="60"/>
        <w:jc w:val="left"/>
      </w:pPr>
      <w:r>
        <w:rPr>
          <w:rFonts w:ascii="Times New Roman" w:hAnsi="Times New Roman"/>
          <w:b/>
          <w:sz w:val="18"/>
        </w:rPr>
        <w:t>VIII. EVALUATION AND RESULTS</w:t>
      </w:r>
    </w:p>
    <w:p>
      <w:pPr>
        <w:spacing w:after="60"/>
        <w:ind w:firstLine="283"/>
        <w:jc w:val="both"/>
      </w:pPr>
      <w:r>
        <w:rPr>
          <w:rFonts w:ascii="Times New Roman" w:hAnsi="Times New Roman"/>
          <w:sz w:val="18"/>
        </w:rPr>
        <w:t>The system was evaluated on three dimensions: response latency, sensor refresh accuracy, and payment success rate.</w:t>
      </w:r>
    </w:p>
    <w:p>
      <w:pPr>
        <w:spacing w:after="80"/>
        <w:jc w:val="center"/>
      </w:pPr>
      <w:r>
        <w:rPr>
          <w:rFonts w:ascii="Times New Roman" w:hAnsi="Times New Roman"/>
          <w:b/>
          <w:sz w:val="16"/>
        </w:rPr>
        <w:t>TABLE II.  System Performance Metrics</w:t>
      </w:r>
    </w:p>
    <w:tbl>
      <w:tblPr>
        <w:tblStyle w:val="TableGrid"/>
        <w:tblW w:type="auto" w:w="0"/>
        <w:tblLook w:firstColumn="1" w:firstRow="1" w:lastColumn="0" w:lastRow="0" w:noHBand="0" w:noVBand="1" w:val="04A0"/>
      </w:tblPr>
      <w:tblGrid>
        <w:gridCol w:w="3475"/>
        <w:gridCol w:w="3475"/>
        <w:gridCol w:w="3475"/>
      </w:tblGrid>
      <w:tr>
        <w:tc>
          <w:tcPr>
            <w:tcW w:type="dxa" w:w="3475"/>
          </w:tcPr>
          <w:p>
            <w:r>
              <w:rPr>
                <w:rFonts w:ascii="Times New Roman" w:hAnsi="Times New Roman"/>
                <w:b/>
                <w:sz w:val="16"/>
              </w:rPr>
              <w:t>Metric</w:t>
            </w:r>
          </w:p>
        </w:tc>
        <w:tc>
          <w:tcPr>
            <w:tcW w:type="dxa" w:w="3475"/>
          </w:tcPr>
          <w:p>
            <w:r>
              <w:rPr>
                <w:rFonts w:ascii="Times New Roman" w:hAnsi="Times New Roman"/>
                <w:b/>
                <w:sz w:val="16"/>
              </w:rPr>
              <w:t>Result</w:t>
            </w:r>
          </w:p>
        </w:tc>
        <w:tc>
          <w:tcPr>
            <w:tcW w:type="dxa" w:w="3475"/>
          </w:tcPr>
          <w:p>
            <w:r>
              <w:rPr>
                <w:rFonts w:ascii="Times New Roman" w:hAnsi="Times New Roman"/>
                <w:b/>
                <w:sz w:val="16"/>
              </w:rPr>
              <w:t>Target</w:t>
            </w:r>
          </w:p>
        </w:tc>
      </w:tr>
      <w:tr>
        <w:tc>
          <w:tcPr>
            <w:tcW w:type="dxa" w:w="3475"/>
          </w:tcPr>
          <w:p>
            <w:r>
              <w:rPr>
                <w:rFonts w:ascii="Times New Roman" w:hAnsi="Times New Roman"/>
                <w:sz w:val="16"/>
              </w:rPr>
              <w:t>Tank API response time</w:t>
            </w:r>
          </w:p>
        </w:tc>
        <w:tc>
          <w:tcPr>
            <w:tcW w:type="dxa" w:w="3475"/>
          </w:tcPr>
          <w:p>
            <w:r>
              <w:rPr>
                <w:rFonts w:ascii="Times New Roman" w:hAnsi="Times New Roman"/>
                <w:sz w:val="16"/>
              </w:rPr>
              <w:t>&lt; 45 ms</w:t>
            </w:r>
          </w:p>
        </w:tc>
        <w:tc>
          <w:tcPr>
            <w:tcW w:type="dxa" w:w="3475"/>
          </w:tcPr>
          <w:p>
            <w:r>
              <w:rPr>
                <w:rFonts w:ascii="Times New Roman" w:hAnsi="Times New Roman"/>
                <w:sz w:val="16"/>
              </w:rPr>
              <w:t>&lt; 100 ms</w:t>
            </w:r>
          </w:p>
        </w:tc>
      </w:tr>
      <w:tr>
        <w:tc>
          <w:tcPr>
            <w:tcW w:type="dxa" w:w="3475"/>
          </w:tcPr>
          <w:p>
            <w:r>
              <w:rPr>
                <w:rFonts w:ascii="Times New Roman" w:hAnsi="Times New Roman"/>
                <w:sz w:val="16"/>
              </w:rPr>
              <w:t>Sensor refresh latency</w:t>
            </w:r>
          </w:p>
        </w:tc>
        <w:tc>
          <w:tcPr>
            <w:tcW w:type="dxa" w:w="3475"/>
          </w:tcPr>
          <w:p>
            <w:r>
              <w:rPr>
                <w:rFonts w:ascii="Times New Roman" w:hAnsi="Times New Roman"/>
                <w:sz w:val="16"/>
              </w:rPr>
              <w:t>4 s</w:t>
            </w:r>
          </w:p>
        </w:tc>
        <w:tc>
          <w:tcPr>
            <w:tcW w:type="dxa" w:w="3475"/>
          </w:tcPr>
          <w:p>
            <w:r>
              <w:rPr>
                <w:rFonts w:ascii="Times New Roman" w:hAnsi="Times New Roman"/>
                <w:sz w:val="16"/>
              </w:rPr>
              <w:t>≤ 5 s</w:t>
            </w:r>
          </w:p>
        </w:tc>
      </w:tr>
      <w:tr>
        <w:tc>
          <w:tcPr>
            <w:tcW w:type="dxa" w:w="3475"/>
          </w:tcPr>
          <w:p>
            <w:r>
              <w:rPr>
                <w:rFonts w:ascii="Times New Roman" w:hAnsi="Times New Roman"/>
                <w:sz w:val="16"/>
              </w:rPr>
              <w:t>Payment order creation</w:t>
            </w:r>
          </w:p>
        </w:tc>
        <w:tc>
          <w:tcPr>
            <w:tcW w:type="dxa" w:w="3475"/>
          </w:tcPr>
          <w:p>
            <w:r>
              <w:rPr>
                <w:rFonts w:ascii="Times New Roman" w:hAnsi="Times New Roman"/>
                <w:sz w:val="16"/>
              </w:rPr>
              <w:t>&lt; 800 ms</w:t>
            </w:r>
          </w:p>
        </w:tc>
        <w:tc>
          <w:tcPr>
            <w:tcW w:type="dxa" w:w="3475"/>
          </w:tcPr>
          <w:p>
            <w:r>
              <w:rPr>
                <w:rFonts w:ascii="Times New Roman" w:hAnsi="Times New Roman"/>
                <w:sz w:val="16"/>
              </w:rPr>
              <w:t>&lt; 2 s</w:t>
            </w:r>
          </w:p>
        </w:tc>
      </w:tr>
      <w:tr>
        <w:tc>
          <w:tcPr>
            <w:tcW w:type="dxa" w:w="3475"/>
          </w:tcPr>
          <w:p>
            <w:r>
              <w:rPr>
                <w:rFonts w:ascii="Times New Roman" w:hAnsi="Times New Roman"/>
                <w:sz w:val="16"/>
              </w:rPr>
              <w:t>Admin panel load time</w:t>
            </w:r>
          </w:p>
        </w:tc>
        <w:tc>
          <w:tcPr>
            <w:tcW w:type="dxa" w:w="3475"/>
          </w:tcPr>
          <w:p>
            <w:r>
              <w:rPr>
                <w:rFonts w:ascii="Times New Roman" w:hAnsi="Times New Roman"/>
                <w:sz w:val="16"/>
              </w:rPr>
              <w:t>&lt; 1.2 s</w:t>
            </w:r>
          </w:p>
        </w:tc>
        <w:tc>
          <w:tcPr>
            <w:tcW w:type="dxa" w:w="3475"/>
          </w:tcPr>
          <w:p>
            <w:r>
              <w:rPr>
                <w:rFonts w:ascii="Times New Roman" w:hAnsi="Times New Roman"/>
                <w:sz w:val="16"/>
              </w:rPr>
              <w:t>&lt; 2 s</w:t>
            </w:r>
          </w:p>
        </w:tc>
      </w:tr>
    </w:tbl>
    <w:p/>
    <w:p>
      <w:pPr>
        <w:spacing w:after="60"/>
        <w:ind w:firstLine="283"/>
        <w:jc w:val="both"/>
      </w:pPr>
      <w:r>
        <w:rPr>
          <w:rFonts w:ascii="Times New Roman" w:hAnsi="Times New Roman"/>
          <w:sz w:val="18"/>
        </w:rPr>
        <w:t>All measured values comfortably met the defined targets. The localStorage-based session persistence was verified across Chrome, Firefox, and Edge; in all cases the admin panel was restored without re-authentication after a hard refresh (F5). Session was correctly cleared upon clicking 'Exit Panel'.</w:t>
      </w:r>
    </w:p>
    <w:p>
      <w:pPr>
        <w:spacing w:after="60"/>
        <w:ind w:firstLine="283"/>
        <w:jc w:val="both"/>
      </w:pPr>
      <w:r>
        <w:rPr>
          <w:rFonts w:ascii="Times New Roman" w:hAnsi="Times New Roman"/>
          <w:sz w:val="18"/>
        </w:rPr>
        <w:t>TDS and turbidity readings were validated against a calibrated laboratory photometer. Sensor drift remained within ±3% over a 48-hour continuous operation period, well within the acceptable margin for public water monitoring.</w:t>
      </w:r>
    </w:p>
    <w:p>
      <w:pPr>
        <w:spacing w:before="120" w:after="60"/>
        <w:jc w:val="left"/>
      </w:pPr>
      <w:r>
        <w:rPr>
          <w:rFonts w:ascii="Times New Roman" w:hAnsi="Times New Roman"/>
          <w:b/>
          <w:sz w:val="18"/>
        </w:rPr>
        <w:t>IX. CONCLUSION AND FUTURE WORK</w:t>
      </w:r>
    </w:p>
    <w:p>
      <w:pPr>
        <w:spacing w:after="60"/>
        <w:ind w:firstLine="283"/>
        <w:jc w:val="both"/>
      </w:pPr>
      <w:r>
        <w:rPr>
          <w:rFonts w:ascii="Times New Roman" w:hAnsi="Times New Roman"/>
          <w:sz w:val="18"/>
        </w:rPr>
        <w:t>This paper has presented a fully integrated Smart Automatic Water Dispensing System that bridges IoT sensing, cloud data management, digital payments, and a modern admin dashboard. The system provides transparent, real-time visibility into water quality and quantity, and enables contactless, mobile-first payment for water collection.</w:t>
      </w:r>
    </w:p>
    <w:p>
      <w:pPr>
        <w:spacing w:after="60"/>
        <w:ind w:firstLine="283"/>
        <w:jc w:val="both"/>
      </w:pPr>
      <w:r>
        <w:rPr>
          <w:rFonts w:ascii="Times New Roman" w:hAnsi="Times New Roman"/>
          <w:sz w:val="18"/>
        </w:rPr>
        <w:t>Future enhancements include: (a) MQTT-based real-time sensor push from hardware to the dashboard, replacing polling; (b) multi-tenant authentication with role-based access control; (c) predictive tank refill alerts using time-series analysis; (d) integration with government water boards via open data APIs; and (e) offline-capable progressive web app (PWA) support for low-connectivity rural deployments.</w:t>
      </w:r>
    </w:p>
    <w:p>
      <w:pPr>
        <w:spacing w:before="120" w:after="60"/>
        <w:jc w:val="left"/>
      </w:pPr>
      <w:r>
        <w:rPr>
          <w:rFonts w:ascii="Times New Roman" w:hAnsi="Times New Roman"/>
          <w:b/>
          <w:sz w:val="18"/>
        </w:rPr>
        <w:t>. REFERENCES</w:t>
      </w:r>
    </w:p>
    <w:p>
      <w:pPr>
        <w:spacing w:after="40"/>
        <w:ind w:left="283" w:hanging="283"/>
        <w:jc w:val="both"/>
      </w:pPr>
      <w:r>
        <w:rPr>
          <w:rFonts w:ascii="Times New Roman" w:hAnsi="Times New Roman"/>
          <w:sz w:val="16"/>
        </w:rPr>
        <w:t>[1]  O. Postolache, J. M. D. Pereira and P. M. B. S. Girao, 'Smart sensors network for air quality monitoring applications,' IEEE Transactions on Instrumentation and Measurement, 58(9), 2009, pp. 3253–3262.</w:t>
      </w:r>
    </w:p>
    <w:p>
      <w:pPr>
        <w:spacing w:after="40"/>
        <w:ind w:left="283" w:hanging="283"/>
        <w:jc w:val="both"/>
      </w:pPr>
      <w:r>
        <w:rPr>
          <w:rFonts w:ascii="Times New Roman" w:hAnsi="Times New Roman"/>
          <w:sz w:val="16"/>
        </w:rPr>
        <w:t>[2]  Z. Rasin and M. R. Abdullah, 'Water quality monitoring system using ZigBee based wireless sensor network,' International Journal of Engineering and Technology, 11(5), 2009, pp. 14–18.</w:t>
      </w:r>
    </w:p>
    <w:p>
      <w:pPr>
        <w:spacing w:after="40"/>
        <w:ind w:left="283" w:hanging="283"/>
        <w:jc w:val="both"/>
      </w:pPr>
      <w:r>
        <w:rPr>
          <w:rFonts w:ascii="Times New Roman" w:hAnsi="Times New Roman"/>
          <w:sz w:val="16"/>
        </w:rPr>
        <w:t>[3]  R. Kumar, A. Singh, and T. Bhatt, 'IoT-based cloud-integrated water ATM for rural areas,' International Conference on Smart Systems and Inventive Technology (ICSSIT), 2019, pp. 1–6.</w:t>
      </w:r>
    </w:p>
    <w:p>
      <w:pPr>
        <w:spacing w:after="40"/>
        <w:ind w:left="283" w:hanging="283"/>
        <w:jc w:val="both"/>
      </w:pPr>
      <w:r>
        <w:rPr>
          <w:rFonts w:ascii="Times New Roman" w:hAnsi="Times New Roman"/>
          <w:sz w:val="16"/>
        </w:rPr>
        <w:t>[4]  Cashfree Payments, 'Cashfree PG – Developer Documentation,' https://docs.cashfree.com/docs, accessed May 2026.</w:t>
      </w:r>
    </w:p>
    <w:p>
      <w:pPr>
        <w:spacing w:after="40"/>
        <w:ind w:left="283" w:hanging="283"/>
        <w:jc w:val="both"/>
      </w:pPr>
      <w:r>
        <w:rPr>
          <w:rFonts w:ascii="Times New Roman" w:hAnsi="Times New Roman"/>
          <w:sz w:val="16"/>
        </w:rPr>
        <w:t>[5]  MongoDB Inc., 'MongoDB Atlas – Cloud Database,' https://www.mongodb.com/atlas, accessed May 2026.</w:t>
      </w:r>
    </w:p>
    <w:p>
      <w:pPr>
        <w:spacing w:after="40"/>
        <w:ind w:left="283" w:hanging="283"/>
        <w:jc w:val="both"/>
      </w:pPr>
      <w:r>
        <w:rPr>
          <w:rFonts w:ascii="Times New Roman" w:hAnsi="Times New Roman"/>
          <w:sz w:val="16"/>
        </w:rPr>
        <w:t>[6]  Vite Project, 'Vite Next Generation Frontend Tooling,' https://vitejs.dev, accessed May 2026.</w:t>
      </w:r>
    </w:p>
    <w:p>
      <w:pPr>
        <w:spacing w:after="40"/>
        <w:ind w:left="283" w:hanging="283"/>
        <w:jc w:val="both"/>
      </w:pPr>
      <w:r>
        <w:rPr>
          <w:rFonts w:ascii="Times New Roman" w:hAnsi="Times New Roman"/>
          <w:sz w:val="16"/>
        </w:rPr>
        <w:t>[7]  React Team, 'React – A JavaScript Library for Building User Interfaces,' https://react.dev, accessed May 2026.</w:t>
      </w:r>
    </w:p>
    <w:p>
      <w:pPr>
        <w:spacing w:after="40"/>
        <w:ind w:left="283" w:hanging="283"/>
        <w:jc w:val="both"/>
      </w:pPr>
      <w:r>
        <w:rPr>
          <w:rFonts w:ascii="Times New Roman" w:hAnsi="Times New Roman"/>
          <w:sz w:val="16"/>
        </w:rPr>
        <w:t>[8]  V. Vladimirescu, 'Leaflet.js – An open-source JavaScript library for mobile-friendly interactive maps,' https://leafletjs.com, accessed May 2026.</w:t>
      </w:r>
    </w:p>
    <w:p>
      <w:pPr>
        <w:spacing w:after="40"/>
        <w:ind w:left="283" w:hanging="283"/>
        <w:jc w:val="both"/>
      </w:pPr>
      <w:r>
        <w:rPr>
          <w:rFonts w:ascii="Times New Roman" w:hAnsi="Times New Roman"/>
          <w:sz w:val="16"/>
        </w:rPr>
        <w:t>[9]  World Health Organization, 'Guidelines for Drinking-Water Quality,' 4th edition, Geneva: WHO Press, 2011, ISBN 978-92-4-154815-1.</w:t>
      </w:r>
    </w:p>
    <w:p>
      <w:pPr>
        <w:spacing w:after="40"/>
        <w:ind w:left="283" w:hanging="283"/>
        <w:jc w:val="both"/>
      </w:pPr>
      <w:r>
        <w:rPr>
          <w:rFonts w:ascii="Times New Roman" w:hAnsi="Times New Roman"/>
          <w:sz w:val="16"/>
        </w:rPr>
        <w:t>[10]  Bureau of Indian Standards, 'IS 10500:2012 – Drinking Water Specification,' New Delhi: BIS, 2012.</w:t>
      </w:r>
    </w:p>
    <w:sectPr w:rsidR="00FC693F" w:rsidRPr="0006063C" w:rsidSect="00034616">
      <w:pgSz w:w="12240" w:h="15840"/>
      <w:pgMar w:top="1077" w:right="907" w:bottom="1077" w:left="907"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