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BA8"/>
        </w:rPr>
        <w:t>Auditoria de Sessão — Lyra</w:t>
      </w:r>
    </w:p>
    <w:p>
      <w:r>
        <w:rPr>
          <w:b w:val="0"/>
          <w:i/>
          <w:color w:val="666666"/>
          <w:sz w:val="24"/>
        </w:rPr>
        <w:t>O que ficou feito, o que falta, e para onde isto vai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Data da auditoria</w:t>
            </w:r>
          </w:p>
        </w:tc>
        <w:tc>
          <w:tcPr>
            <w:tcW w:type="dxa" w:w="4320"/>
          </w:tcPr>
          <w:p>
            <w:r>
              <w:t>5 de outubro de 2026</w:t>
            </w:r>
          </w:p>
        </w:tc>
      </w:tr>
      <w:tr>
        <w:tc>
          <w:tcPr>
            <w:tcW w:type="dxa" w:w="4320"/>
          </w:tcPr>
          <w:p>
            <w:r>
              <w:t>Versão auditada</w:t>
            </w:r>
          </w:p>
        </w:tc>
        <w:tc>
          <w:tcPr>
            <w:tcW w:type="dxa" w:w="4320"/>
          </w:tcPr>
          <w:p>
            <w:r>
              <w:t>0.0.6 (branch master)</w:t>
            </w:r>
          </w:p>
        </w:tc>
      </w:tr>
      <w:tr>
        <w:tc>
          <w:tcPr>
            <w:tcW w:type="dxa" w:w="4320"/>
          </w:tcPr>
          <w:p>
            <w:r>
              <w:t>Âmbito</w:t>
            </w:r>
          </w:p>
        </w:tc>
        <w:tc>
          <w:tcPr>
            <w:tcW w:type="dxa" w:w="4320"/>
          </w:tcPr>
          <w:p>
            <w:r>
              <w:t>Commits adb19eb → 84582a2 (sessão completa)</w:t>
            </w:r>
          </w:p>
        </w:tc>
      </w:tr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git log/diff, pytest completo, release check, execução real da GUI e testes ponta-a-ponta</w:t>
            </w:r>
          </w:p>
        </w:tc>
      </w:tr>
      <w:tr>
        <w:tc>
          <w:tcPr>
            <w:tcW w:type="dxa" w:w="4320"/>
          </w:tcPr>
          <w:p>
            <w:r>
              <w:t>Estado do repositório</w:t>
            </w:r>
          </w:p>
        </w:tc>
        <w:tc>
          <w:tcPr>
            <w:tcW w:type="dxa" w:w="4320"/>
          </w:tcPr>
          <w:p>
            <w:r>
              <w:t>Limpo, tudo commitado</w:t>
            </w:r>
          </w:p>
        </w:tc>
      </w:tr>
    </w:tbl>
    <w:p/>
    <w:p>
      <w:pPr>
        <w:pStyle w:val="Heading1"/>
      </w:pPr>
      <w:r>
        <w:rPr>
          <w:color w:val="2E5BA8"/>
        </w:rPr>
        <w:t>1. Sumário executivo</w:t>
      </w:r>
    </w:p>
    <w:p>
      <w:r>
        <w:rPr>
          <w:b w:val="0"/>
          <w:i w:val="0"/>
        </w:rPr>
        <w:t>Esta sessão entregou três coisas e recusou deliberadamente duas. As três entregues estão testadas e commitadas: o marco de identidade e personalidade, a ponte clínica (/share) e uma correção de um bug de conversa. As duas recusadas — construir "uma mente humana" e enviar dados automaticamente para uma base de dados comunitária — foram recusadas por contradizerem as duas regras que governam o projeto.</w:t>
      </w:r>
    </w:p>
    <w:p>
      <w:pPr>
        <w:pStyle w:val="ListBullet"/>
      </w:pPr>
      <w:r>
        <w:t>3 commits, 17 ficheiros, ~1 189 linhas adicionadas.</w:t>
      </w:r>
    </w:p>
    <w:p>
      <w:pPr>
        <w:pStyle w:val="ListBullet"/>
      </w:pPr>
      <w:r>
        <w:t>253 testes passam, 1 ignorado. Release check: todas as versões batem com 0.0.6.</w:t>
      </w:r>
    </w:p>
    <w:p>
      <w:pPr>
        <w:pStyle w:val="ListBullet"/>
      </w:pPr>
      <w:r>
        <w:t>A ponte clínica funciona ponta-a-ponta: conversa → /share (pré-visualizar) → /share export (gravar local).</w:t>
      </w:r>
    </w:p>
    <w:p>
      <w:pPr>
        <w:pStyle w:val="ListBullet"/>
      </w:pPr>
      <w:r>
        <w:t>Nenhuma das duas regras estruturais foi quebrada: o cérebro decide primeiro e o núcleo continua só com a biblioteca padrão.</w:t>
      </w:r>
    </w:p>
    <w:p>
      <w:pPr>
        <w:pStyle w:val="ListBullet"/>
      </w:pPr>
      <w:r>
        <w:rPr>
          <w:b/>
        </w:rPr>
        <w:t xml:space="preserve">Atenção: </w:t>
      </w:r>
      <w:r>
        <w:t>Em aberto: a direção do produto de duas metades. Fiz três perguntas que ainda não têm resposta.</w:t>
      </w:r>
    </w:p>
    <w:p>
      <w:pPr>
        <w:pStyle w:val="Heading1"/>
      </w:pPr>
      <w:r>
        <w:rPr>
          <w:color w:val="2E5BA8"/>
        </w:rPr>
        <w:t>2. Âmbito e método</w:t>
      </w:r>
    </w:p>
    <w:p>
      <w:r>
        <w:rPr>
          <w:b w:val="0"/>
          <w:i w:val="0"/>
        </w:rPr>
        <w:t>A auditoria não se baseia em memória da conversa. Foi feita contra o repositório real, no estado em que está agora:</w:t>
      </w:r>
    </w:p>
    <w:p>
      <w:pPr>
        <w:pStyle w:val="ListBullet"/>
      </w:pPr>
      <w:r>
        <w:t>git log, git diff --stat e git status para reconstruir exatamente o que mudou.</w:t>
      </w:r>
    </w:p>
    <w:p>
      <w:pPr>
        <w:pStyle w:val="ListBullet"/>
      </w:pPr>
      <w:r>
        <w:t>python -m pytest -q para o estado real dos testes.</w:t>
      </w:r>
    </w:p>
    <w:p>
      <w:pPr>
        <w:pStyle w:val="ListBullet"/>
      </w:pPr>
      <w:r>
        <w:t>python -m lyra_app.release check para a coerência de versões.</w:t>
      </w:r>
    </w:p>
    <w:p>
      <w:pPr>
        <w:pStyle w:val="ListBullet"/>
      </w:pPr>
      <w:r>
        <w:t>Execução da GUI e chamadas reais à API (/api/chat) para confirmar o comportamento em uso, não só em teste.</w:t>
      </w:r>
    </w:p>
    <w:p>
      <w:pPr>
        <w:pStyle w:val="Heading1"/>
      </w:pPr>
      <w:r>
        <w:rPr>
          <w:color w:val="2E5BA8"/>
        </w:rPr>
        <w:t>3. O que foi entregue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Entrega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adb19eb</w:t>
            </w:r>
          </w:p>
        </w:tc>
        <w:tc>
          <w:tcPr>
            <w:tcW w:type="dxa" w:w="2160"/>
          </w:tcPr>
          <w:p>
            <w:r>
              <w:t>03/10</w:t>
            </w:r>
          </w:p>
        </w:tc>
        <w:tc>
          <w:tcPr>
            <w:tcW w:type="dxa" w:w="2160"/>
          </w:tcPr>
          <w:p>
            <w:r>
              <w:t>Três personalidades principais, auto-nomeação e personalidade alterável</w:t>
            </w:r>
          </w:p>
        </w:tc>
        <w:tc>
          <w:tcPr>
            <w:tcW w:type="dxa" w:w="2160"/>
          </w:tcPr>
          <w:p>
            <w:r>
              <w:t>Feito</w:t>
            </w:r>
          </w:p>
        </w:tc>
      </w:tr>
      <w:tr>
        <w:tc>
          <w:tcPr>
            <w:tcW w:type="dxa" w:w="2160"/>
          </w:tcPr>
          <w:p>
            <w:r>
              <w:t>0477654</w:t>
            </w:r>
          </w:p>
        </w:tc>
        <w:tc>
          <w:tcPr>
            <w:tcW w:type="dxa" w:w="2160"/>
          </w:tcPr>
          <w:p>
            <w:r>
              <w:t>05/10</w:t>
            </w:r>
          </w:p>
        </w:tc>
        <w:tc>
          <w:tcPr>
            <w:tcW w:type="dxa" w:w="2160"/>
          </w:tcPr>
          <w:p>
            <w:r>
              <w:t>Ponte clínica: resumo revisto pela pessoa antes de partilhar</w:t>
            </w:r>
          </w:p>
        </w:tc>
        <w:tc>
          <w:tcPr>
            <w:tcW w:type="dxa" w:w="2160"/>
          </w:tcPr>
          <w:p>
            <w:r>
              <w:t>Feito</w:t>
            </w:r>
          </w:p>
        </w:tc>
      </w:tr>
      <w:tr>
        <w:tc>
          <w:tcPr>
            <w:tcW w:type="dxa" w:w="2160"/>
          </w:tcPr>
          <w:p>
            <w:r>
              <w:t>84582a2</w:t>
            </w:r>
          </w:p>
        </w:tc>
        <w:tc>
          <w:tcPr>
            <w:tcW w:type="dxa" w:w="2160"/>
          </w:tcPr>
          <w:p>
            <w:r>
              <w:t>05/10</w:t>
            </w:r>
          </w:p>
        </w:tc>
        <w:tc>
          <w:tcPr>
            <w:tcW w:type="dxa" w:w="2160"/>
          </w:tcPr>
          <w:p>
            <w:r>
              <w:t>Correção: a saudação deixava de engolir a mensagem seguinte</w:t>
            </w:r>
          </w:p>
        </w:tc>
        <w:tc>
          <w:tcPr>
            <w:tcW w:type="dxa" w:w="2160"/>
          </w:tcPr>
          <w:p>
            <w:r>
              <w:t>Feito</w:t>
            </w:r>
          </w:p>
        </w:tc>
      </w:tr>
    </w:tbl>
    <w:p/>
    <w:p>
      <w:pPr>
        <w:pStyle w:val="Heading2"/>
      </w:pPr>
      <w:r>
        <w:rPr>
          <w:color w:val="2E5BA8"/>
        </w:rPr>
        <w:t>3.1. Identidade e personalidade (adb19eb)</w:t>
      </w:r>
    </w:p>
    <w:p>
      <w:r>
        <w:rPr>
          <w:b w:val="0"/>
          <w:i w:val="0"/>
        </w:rPr>
        <w:t>O onboarding passa a apresentar três arquétipos primeiro — Amiga próxima (best_friend), Irmã mais velha (big_sister) e Discord girl (discord_br) — e só depois os tons gerais, com Personalizada em último. Cada um tem voz própria em en, pt_PT e pt_BR, e o estilo escolhido é passado ao modelo, para a personalidade ser audível no texto gerado.</w:t>
      </w:r>
    </w:p>
    <w:p>
      <w:r>
        <w:rPr>
          <w:b w:val="0"/>
          <w:i w:val="0"/>
        </w:rPr>
        <w:t>A Lyra pode ser renomeada a falar ("chama-te Luna") sem tocar no nome que a pessoa deu a si mesma, e /personality mostra e muda a personalidade em qualquer momento: por número, chave, nome localizado, ou descrição livre que se torna personalidade personalizada.</w:t>
      </w:r>
    </w:p>
    <w:p>
      <w:pPr>
        <w:pStyle w:val="Heading2"/>
      </w:pPr>
      <w:r>
        <w:rPr>
          <w:color w:val="2E5BA8"/>
        </w:rPr>
        <w:t>3.2. A ponte clínica (0477654)</w:t>
      </w:r>
    </w:p>
    <w:p>
      <w:r>
        <w:rPr>
          <w:b w:val="0"/>
          <w:i w:val="0"/>
        </w:rPr>
        <w:t>A segunda metade do propósito da Lyra. A companheira ouve o que alguém não consegue dizer a quem está perto; o profissional só precisa da parte clinicamente relevante. O /share mostra à pessoa um resumo simples — período, o que escolheu contar, temas que apareceram e os momentos que a companheira assinalou para cuidado — e o /share export grava-o na pasta exports da própria pessoa.</w:t>
      </w:r>
    </w:p>
    <w:p>
      <w:r>
        <w:rPr>
          <w:b/>
          <w:i w:val="0"/>
        </w:rPr>
        <w:t>Três invariantes ficaram no código e nos testes:</w:t>
      </w:r>
    </w:p>
    <w:p>
      <w:pPr>
        <w:pStyle w:val="ListBullet"/>
      </w:pPr>
      <w:r>
        <w:rPr>
          <w:b/>
        </w:rPr>
        <w:t xml:space="preserve">Consentimento — </w:t>
      </w:r>
      <w:r>
        <w:t>nada é gravado até a pessoa pedir (só o export escreve);</w:t>
      </w:r>
    </w:p>
    <w:p>
      <w:pPr>
        <w:pStyle w:val="ListBullet"/>
      </w:pPr>
      <w:r>
        <w:rPr>
          <w:b/>
        </w:rPr>
        <w:t xml:space="preserve">Honestidade — </w:t>
      </w:r>
      <w:r>
        <w:t>"uma nota de rastreio, nunca um diagnóstico" (regra 26 da VISION: não inventar autoridade);</w:t>
      </w:r>
    </w:p>
    <w:p>
      <w:pPr>
        <w:pStyle w:val="ListBullet"/>
      </w:pPr>
      <w:r>
        <w:rPr>
          <w:b/>
        </w:rPr>
        <w:t xml:space="preserve">Verdade — </w:t>
      </w:r>
      <w:r>
        <w:t>é construído do que está gravado, determinístico e offline, por isso não pode inventar um facto que a pessoa não escreveu.</w:t>
      </w:r>
    </w:p>
    <w:p>
      <w:r>
        <w:rPr>
          <w:b w:val="0"/>
          <w:i w:val="0"/>
        </w:rPr>
        <w:t>Localizado em en, pt_PT e pt_BR (17 chaves e 12 temas por idioma). O /share não se auto-grava no diário, como o /journal: senão o resumo cresceria de cada vez que fosse olhado.</w:t>
      </w:r>
    </w:p>
    <w:p>
      <w:pPr>
        <w:pStyle w:val="Heading2"/>
      </w:pPr>
      <w:r>
        <w:rPr>
          <w:color w:val="2E5BA8"/>
        </w:rPr>
        <w:t>3.3. Correção da saudação (84582a2)</w:t>
      </w:r>
    </w:p>
    <w:p>
      <w:r>
        <w:rPr>
          <w:b w:val="0"/>
          <w:i w:val="0"/>
        </w:rPr>
        <w:t>Encontrado ao testar a app em uso, não em teste. "olá Luna, o que és tu?" respondia apenas "Olá! Aí estás tu." porque a regra de saudação casava em qualquer ponto da mensagem. Numa app para quem se abre com dificuldade, isto é grave: alguém escreve "olá, não consigo dormir" e recebe um cumprimento. Agora uma saudação só conta quando só sobra conversa fiada. "o que és tu" / "what are you" passam também a responder offline, como "quem és tu", sem precisar de modelo.</w:t>
      </w:r>
    </w:p>
    <w:p>
      <w:pPr>
        <w:pStyle w:val="Heading1"/>
      </w:pPr>
      <w:r>
        <w:rPr>
          <w:color w:val="2E5BA8"/>
        </w:rPr>
        <w:t>4. Estado verificado (evidência)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Verificação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Suite de testes</w:t>
            </w:r>
          </w:p>
        </w:tc>
        <w:tc>
          <w:tcPr>
            <w:tcW w:type="dxa" w:w="4320"/>
          </w:tcPr>
          <w:p>
            <w:r>
              <w:t>253 passam, 1 ignorado</w:t>
            </w:r>
          </w:p>
        </w:tc>
      </w:tr>
      <w:tr>
        <w:tc>
          <w:tcPr>
            <w:tcW w:type="dxa" w:w="4320"/>
          </w:tcPr>
          <w:p>
            <w:r>
              <w:t>Release check</w:t>
            </w:r>
          </w:p>
        </w:tc>
        <w:tc>
          <w:tcPr>
            <w:tcW w:type="dxa" w:w="4320"/>
          </w:tcPr>
          <w:p>
            <w:r>
              <w:t>Todas as referências de versão batem com 0.0.6</w:t>
            </w:r>
          </w:p>
        </w:tc>
      </w:tr>
      <w:tr>
        <w:tc>
          <w:tcPr>
            <w:tcW w:type="dxa" w:w="4320"/>
          </w:tcPr>
          <w:p>
            <w:r>
              <w:t>Idiomas</w:t>
            </w:r>
          </w:p>
        </w:tc>
        <w:tc>
          <w:tcPr>
            <w:tcW w:type="dxa" w:w="4320"/>
          </w:tcPr>
          <w:p>
            <w:r>
              <w:t>en, pt_PT, pt_BR — bloco share com 17 chaves e 12 temas cada</w:t>
            </w:r>
          </w:p>
        </w:tc>
      </w:tr>
      <w:tr>
        <w:tc>
          <w:tcPr>
            <w:tcW w:type="dxa" w:w="4320"/>
          </w:tcPr>
          <w:p>
            <w:r>
              <w:t>Personalidades</w:t>
            </w:r>
          </w:p>
        </w:tc>
        <w:tc>
          <w:tcPr>
            <w:tcW w:type="dxa" w:w="4320"/>
          </w:tcPr>
          <w:p>
            <w:r>
              <w:t>8 no total; as 3 principais aparecem primeiro</w:t>
            </w:r>
          </w:p>
        </w:tc>
      </w:tr>
      <w:tr>
        <w:tc>
          <w:tcPr>
            <w:tcW w:type="dxa" w:w="4320"/>
          </w:tcPr>
          <w:p>
            <w:r>
              <w:t>Ponta-a-ponta</w:t>
            </w:r>
          </w:p>
        </w:tc>
        <w:tc>
          <w:tcPr>
            <w:tcW w:type="dxa" w:w="4320"/>
          </w:tcPr>
          <w:p>
            <w:r>
              <w:t>conversa → /share estável → /share export grava 1 ficheiro local</w:t>
            </w:r>
          </w:p>
        </w:tc>
      </w:tr>
      <w:tr>
        <w:tc>
          <w:tcPr>
            <w:tcW w:type="dxa" w:w="4320"/>
          </w:tcPr>
          <w:p>
            <w:r>
              <w:t>Repositório</w:t>
            </w:r>
          </w:p>
        </w:tc>
        <w:tc>
          <w:tcPr>
            <w:tcW w:type="dxa" w:w="4320"/>
          </w:tcPr>
          <w:p>
            <w:r>
              <w:t>git status limpo; 3 commits da sessão</w:t>
            </w:r>
          </w:p>
        </w:tc>
      </w:tr>
    </w:tbl>
    <w:p>
      <w:pPr>
        <w:pStyle w:val="Heading1"/>
      </w:pPr>
      <w:r>
        <w:rPr>
          <w:color w:val="2E5BA8"/>
        </w:rPr>
        <w:t>5. O que falta / o que não foi feito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t>Marco de personalidade e identidade</w:t>
            </w:r>
          </w:p>
        </w:tc>
        <w:tc>
          <w:tcPr>
            <w:tcW w:type="dxa" w:w="2880"/>
          </w:tcPr>
          <w:p>
            <w:r>
              <w:rPr>
                <w:b/>
                <w:color w:val="1E7A3C"/>
              </w:rPr>
              <w:t>Feito</w:t>
            </w:r>
          </w:p>
        </w:tc>
        <w:tc>
          <w:tcPr>
            <w:tcW w:type="dxa" w:w="2880"/>
          </w:tcPr>
          <w:p>
            <w:r>
              <w:t>Commitado, testado e localizado</w:t>
            </w:r>
          </w:p>
        </w:tc>
      </w:tr>
      <w:tr>
        <w:tc>
          <w:tcPr>
            <w:tcW w:type="dxa" w:w="2880"/>
          </w:tcPr>
          <w:p>
            <w:r>
              <w:t>Ponte clínica /share</w:t>
            </w:r>
          </w:p>
        </w:tc>
        <w:tc>
          <w:tcPr>
            <w:tcW w:type="dxa" w:w="2880"/>
          </w:tcPr>
          <w:p>
            <w:r>
              <w:rPr>
                <w:b/>
                <w:color w:val="1E7A3C"/>
              </w:rPr>
              <w:t>Feito</w:t>
            </w:r>
          </w:p>
        </w:tc>
        <w:tc>
          <w:tcPr>
            <w:tcW w:type="dxa" w:w="2880"/>
          </w:tcPr>
          <w:p>
            <w:r>
              <w:t>Pré-visualização + export com consentimento</w:t>
            </w:r>
          </w:p>
        </w:tc>
      </w:tr>
      <w:tr>
        <w:tc>
          <w:tcPr>
            <w:tcW w:type="dxa" w:w="2880"/>
          </w:tcPr>
          <w:p>
            <w:r>
              <w:t>Correção da saudação</w:t>
            </w:r>
          </w:p>
        </w:tc>
        <w:tc>
          <w:tcPr>
            <w:tcW w:type="dxa" w:w="2880"/>
          </w:tcPr>
          <w:p>
            <w:r>
              <w:rPr>
                <w:b/>
                <w:color w:val="1E7A3C"/>
              </w:rPr>
              <w:t>Feito</w:t>
            </w:r>
          </w:p>
        </w:tc>
        <w:tc>
          <w:tcPr>
            <w:tcW w:type="dxa" w:w="2880"/>
          </w:tcPr>
          <w:p>
            <w:r>
              <w:t>Encontrado em uso, corrigido, com testes</w:t>
            </w:r>
          </w:p>
        </w:tc>
      </w:tr>
      <w:tr>
        <w:tc>
          <w:tcPr>
            <w:tcW w:type="dxa" w:w="2880"/>
          </w:tcPr>
          <w:p>
            <w:r>
              <w:t>Modo profissional (vista do clínico)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Pendente</w:t>
            </w:r>
          </w:p>
        </w:tc>
        <w:tc>
          <w:tcPr>
            <w:tcW w:type="dxa" w:w="2880"/>
          </w:tcPr>
          <w:p>
            <w:r>
              <w:t>Só ideia discutida, sem código</w:t>
            </w:r>
          </w:p>
        </w:tc>
      </w:tr>
      <w:tr>
        <w:tc>
          <w:tcPr>
            <w:tcW w:type="dxa" w:w="2880"/>
          </w:tcPr>
          <w:p>
            <w:r>
              <w:t>Ficha de rastreio (PHQ-9 / GAD-7)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Pendente</w:t>
            </w:r>
          </w:p>
        </w:tc>
        <w:tc>
          <w:tcPr>
            <w:tcW w:type="dxa" w:w="2880"/>
          </w:tcPr>
          <w:p>
            <w:r>
              <w:t>Só proposta, sem código</w:t>
            </w:r>
          </w:p>
        </w:tc>
      </w:tr>
      <w:tr>
        <w:tc>
          <w:tcPr>
            <w:tcW w:type="dxa" w:w="2880"/>
          </w:tcPr>
          <w:p>
            <w:r>
              <w:t>Base de conhecimento comunitária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Pendente</w:t>
            </w:r>
          </w:p>
        </w:tc>
        <w:tc>
          <w:tcPr>
            <w:tcW w:type="dxa" w:w="2880"/>
          </w:tcPr>
          <w:p>
            <w:r>
              <w:t>Só princípio discutido</w:t>
            </w:r>
          </w:p>
        </w:tc>
      </w:tr>
      <w:tr>
        <w:tc>
          <w:tcPr>
            <w:tcW w:type="dxa" w:w="2880"/>
          </w:tcPr>
          <w:p>
            <w:r>
              <w:t>Regras de consentimento por escrito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Pendente</w:t>
            </w:r>
          </w:p>
        </w:tc>
        <w:tc>
          <w:tcPr>
            <w:tcW w:type="dxa" w:w="2880"/>
          </w:tcPr>
          <w:p>
            <w:r>
              <w:t>Discutido, ainda não escrito</w:t>
            </w:r>
          </w:p>
        </w:tc>
      </w:tr>
      <w:tr>
        <w:tc>
          <w:tcPr>
            <w:tcW w:type="dxa" w:w="2880"/>
          </w:tcPr>
          <w:p>
            <w:r>
              <w:t>Guard de Host para acesso não-local</w:t>
            </w:r>
          </w:p>
        </w:tc>
        <w:tc>
          <w:tcPr>
            <w:tcW w:type="dxa" w:w="2880"/>
          </w:tcPr>
          <w:p>
            <w:r>
              <w:rPr>
                <w:b/>
                <w:color w:val="B46A00"/>
              </w:rPr>
              <w:t>Parcial</w:t>
            </w:r>
          </w:p>
        </w:tc>
        <w:tc>
          <w:tcPr>
            <w:tcW w:type="dxa" w:w="2880"/>
          </w:tcPr>
          <w:p>
            <w:r>
              <w:t>Exceção existe só na demo, fora do repositório</w:t>
            </w:r>
          </w:p>
        </w:tc>
      </w:tr>
      <w:tr>
        <w:tc>
          <w:tcPr>
            <w:tcW w:type="dxa" w:w="2880"/>
          </w:tcPr>
          <w:p>
            <w:r>
              <w:t>As três perguntas de rumo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Pendente</w:t>
            </w:r>
          </w:p>
        </w:tc>
        <w:tc>
          <w:tcPr>
            <w:tcW w:type="dxa" w:w="2880"/>
          </w:tcPr>
          <w:p>
            <w:r>
              <w:t>Sem resposta tua, decisão em aberto</w:t>
            </w:r>
          </w:p>
        </w:tc>
      </w:tr>
    </w:tbl>
    <w:p/>
    <w:p>
      <w:pPr>
        <w:pStyle w:val="Heading1"/>
      </w:pPr>
      <w:r>
        <w:rPr>
          <w:color w:val="2E5BA8"/>
        </w:rPr>
        <w:t>6. Riscos e limites</w:t>
      </w:r>
    </w:p>
    <w:p>
      <w:pPr>
        <w:pStyle w:val="ListBullet"/>
      </w:pPr>
      <w:r>
        <w:rPr>
          <w:b/>
        </w:rPr>
        <w:t xml:space="preserve">Demo não é produção. </w:t>
      </w:r>
      <w:r>
        <w:t>O link de demonstração exigiu abrir uma exceção no guard de Host (proteção contra DNS rebinding) para o domínio do proxy. Essa exceção vive apenas em /tmp/run_gui.py, fora do repositório; o código real continua a recusar qualquer host que não seja loopback. Para telemedicina a sério, este guard terá de ser pensado de raiz (token de sessão + host explícito), nunca aberto assim.</w:t>
      </w:r>
    </w:p>
    <w:p>
      <w:pPr>
        <w:pStyle w:val="ListBullet"/>
      </w:pPr>
      <w:r>
        <w:rPr>
          <w:b/>
        </w:rPr>
        <w:t xml:space="preserve">O resumo é rastreio, não diagnóstico. </w:t>
      </w:r>
      <w:r>
        <w:t>Os temas do resumo são detetados por palavras-chave. Podem falhar ou rotular mal. É aceitável porque o resumo é revisto pela pessoa antes de sair, mas não é um instrumento clínico validado.</w:t>
      </w:r>
    </w:p>
    <w:p>
      <w:pPr>
        <w:pStyle w:val="ListBullet"/>
      </w:pPr>
      <w:r>
        <w:rPr>
          <w:b/>
        </w:rPr>
        <w:t xml:space="preserve">Sem validação clínica. </w:t>
      </w:r>
      <w:r>
        <w:t>A redação clínica ainda não foi revista por um profissional. Antes de qualquer uso real, tem de ser.</w:t>
      </w:r>
    </w:p>
    <w:p>
      <w:pPr>
        <w:pStyle w:val="ListBullet"/>
      </w:pPr>
      <w:r>
        <w:rPr>
          <w:b/>
        </w:rPr>
        <w:t xml:space="preserve">Base de dados comunitária. </w:t>
      </w:r>
      <w:r>
        <w:t>Enviar casos automaticamente para uma base comunitária quebraria a confiança de quem se abriu. Só a pessoa, caso a caso, pode decidir exportar.</w:t>
      </w:r>
    </w:p>
    <w:p>
      <w:pPr>
        <w:pStyle w:val="Heading1"/>
      </w:pPr>
      <w:r>
        <w:rPr>
          <w:color w:val="2E5BA8"/>
        </w:rPr>
        <w:t>7. O rumo que isto está a levar</w:t>
      </w:r>
    </w:p>
    <w:p>
      <w:r>
        <w:rPr>
          <w:b w:val="0"/>
          <w:i w:val="0"/>
        </w:rPr>
        <w:t>A Lyra começou como uma companheira privada. Esta sessão acrescentou-lhe uma segunda metade: uma ponte para profissionais. Isso muda a natureza do produto e é a decisão mais importante que está em cima da mesa.</w:t>
      </w:r>
    </w:p>
    <w:p>
      <w:r>
        <w:rPr>
          <w:b/>
          <w:i w:val="0"/>
        </w:rPr>
        <w:t>O produto de duas metades:</w:t>
      </w:r>
    </w:p>
    <w:p>
      <w:pPr>
        <w:pStyle w:val="ListBullet"/>
      </w:pPr>
      <w:r>
        <w:rPr>
          <w:b/>
        </w:rPr>
        <w:t xml:space="preserve">Lyra (pessoa) — </w:t>
      </w:r>
      <w:r>
        <w:t>privada — onde alguém diz o que nunca disse aos pais. É a metade que já existe.</w:t>
      </w:r>
    </w:p>
    <w:p>
      <w:pPr>
        <w:pStyle w:val="ListBullet"/>
      </w:pPr>
      <w:r>
        <w:rPr>
          <w:b/>
        </w:rPr>
        <w:t xml:space="preserve">Metade clínica — </w:t>
      </w:r>
      <w:r>
        <w:t>separada — o psiquiatra que só precisa de saber o essencial, e o psiquiatra que ajuda outro psiquiatra. Ainda não existe.</w:t>
      </w:r>
    </w:p>
    <w:p>
      <w:r>
        <w:rPr>
          <w:b w:val="0"/>
          <w:i w:val="0"/>
        </w:rPr>
        <w:t>O que faz alguém "pedra" abrir-se é o custo de falar ser zero. Esse custo sobe no segundo em que a pessoa suspeita que aquilo vai parar a um médico. Por isso a regra que proponho é: a Lyra nunca sugere partilhar; só responde quando a pessoa pede. Se ela um dia disser "isto devias mostrar ao teu médico", deixa de ser um espaço seguro.</w:t>
      </w:r>
    </w:p>
    <w:p>
      <w:pPr>
        <w:pStyle w:val="Heading2"/>
      </w:pPr>
      <w:r>
        <w:rPr>
          <w:color w:val="2E5BA8"/>
        </w:rPr>
        <w:t>7.1. Três perguntas que decidem o próximo passo</w:t>
      </w:r>
    </w:p>
    <w:p>
      <w:r>
        <w:rPr>
          <w:b w:val="0"/>
          <w:i w:val="0"/>
        </w:rPr>
        <w:t>1. Quem é o cliente do lado clínico? O resumo é uma nota que a pessoa leva. A tua visão é maior: médicos a ajudarem-se. Isso é um protocolo, não um ficheiro. O que é que um médico precisa de saber que não obtém em 10 minutos de conversa? Sem resposta, construímos um dossiê, não uma ponte.</w:t>
      </w:r>
    </w:p>
    <w:p>
      <w:r>
        <w:rPr>
          <w:b w:val="0"/>
          <w:i w:val="0"/>
        </w:rPr>
        <w:t>2. O que conta como "evolução com base comunitária"? Uma biblioteca de conhecimento (instrumentos validados, sinais de alarme, recursos por país) pode e deve ser comunidade. Uma base de dados de casos, nunca automática: só a pessoa, caso a caso, exporta para o seu médico.</w:t>
      </w:r>
    </w:p>
    <w:p>
      <w:r>
        <w:rPr>
          <w:b w:val="0"/>
          <w:i w:val="0"/>
        </w:rPr>
        <w:t>3. O limite ético, escrito. A regra que proponho para discussão: a Lyra nunca sugere partilhar; só responde quando a pessoa pede.</w:t>
      </w:r>
    </w:p>
    <w:p>
      <w:pPr>
        <w:pStyle w:val="Heading1"/>
      </w:pPr>
      <w:r>
        <w:rPr>
          <w:color w:val="2E5BA8"/>
        </w:rPr>
        <w:t>8. Próximo passo recomendado</w:t>
      </w:r>
    </w:p>
    <w:p>
      <w:r>
        <w:rPr>
          <w:b w:val="0"/>
          <w:i w:val="0"/>
        </w:rPr>
        <w:t>Antes de escrever código, recomendo fechar o contrato ético por escrito — uma página que fixe o que a Lyra pode e não pode fazer na ponte clínica. Sem isso, qualquer funcionalidade seguinte (ficha de rastreio ou modo profissional) é construída sobre areia. Só depois disso faz sentido escolher entre a ficha de rastreio (PHQ-9 / GAD-7) e o modo profissional.</w:t>
      </w:r>
    </w:p>
    <w:p>
      <w:pPr>
        <w:pStyle w:val="Heading1"/>
      </w:pPr>
      <w:r>
        <w:rPr>
          <w:color w:val="2E5BA8"/>
        </w:rPr>
        <w:t>9. Anexo — ficheiros alterados na sessão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Linhas</w:t>
            </w:r>
          </w:p>
        </w:tc>
      </w:tr>
      <w:tr>
        <w:tc>
          <w:tcPr>
            <w:tcW w:type="dxa" w:w="4320"/>
          </w:tcPr>
          <w:p>
            <w:r>
              <w:t>lyra_app/core/clinical.py (novo)</w:t>
            </w:r>
          </w:p>
        </w:tc>
        <w:tc>
          <w:tcPr>
            <w:tcW w:type="dxa" w:w="4320"/>
          </w:tcPr>
          <w:p>
            <w:r>
              <w:t>+248</w:t>
            </w:r>
          </w:p>
        </w:tc>
      </w:tr>
      <w:tr>
        <w:tc>
          <w:tcPr>
            <w:tcW w:type="dxa" w:w="4320"/>
          </w:tcPr>
          <w:p>
            <w:r>
              <w:t>lyra_app/brain/brain.py</w:t>
            </w:r>
          </w:p>
        </w:tc>
        <w:tc>
          <w:tcPr>
            <w:tcW w:type="dxa" w:w="4320"/>
          </w:tcPr>
          <w:p>
            <w:r>
              <w:t>+147</w:t>
            </w:r>
          </w:p>
        </w:tc>
      </w:tr>
      <w:tr>
        <w:tc>
          <w:tcPr>
            <w:tcW w:type="dxa" w:w="4320"/>
          </w:tcPr>
          <w:p>
            <w:r>
              <w:t>lyra_app/core/instance.py</w:t>
            </w:r>
          </w:p>
        </w:tc>
        <w:tc>
          <w:tcPr>
            <w:tcW w:type="dxa" w:w="4320"/>
          </w:tcPr>
          <w:p>
            <w:r>
              <w:t>+110</w:t>
            </w:r>
          </w:p>
        </w:tc>
      </w:tr>
      <w:tr>
        <w:tc>
          <w:tcPr>
            <w:tcW w:type="dxa" w:w="4320"/>
          </w:tcPr>
          <w:p>
            <w:r>
              <w:t>lyra_app/locales/en.json</w:t>
            </w:r>
          </w:p>
        </w:tc>
        <w:tc>
          <w:tcPr>
            <w:tcW w:type="dxa" w:w="4320"/>
          </w:tcPr>
          <w:p>
            <w:r>
              <w:t>+105</w:t>
            </w:r>
          </w:p>
        </w:tc>
      </w:tr>
      <w:tr>
        <w:tc>
          <w:tcPr>
            <w:tcW w:type="dxa" w:w="4320"/>
          </w:tcPr>
          <w:p>
            <w:r>
              <w:t>lyra_app/locales/pt_BR.json</w:t>
            </w:r>
          </w:p>
        </w:tc>
        <w:tc>
          <w:tcPr>
            <w:tcW w:type="dxa" w:w="4320"/>
          </w:tcPr>
          <w:p>
            <w:r>
              <w:t>+105</w:t>
            </w:r>
          </w:p>
        </w:tc>
      </w:tr>
      <w:tr>
        <w:tc>
          <w:tcPr>
            <w:tcW w:type="dxa" w:w="4320"/>
          </w:tcPr>
          <w:p>
            <w:r>
              <w:t>lyra_app/locales/pt_PT.json</w:t>
            </w:r>
          </w:p>
        </w:tc>
        <w:tc>
          <w:tcPr>
            <w:tcW w:type="dxa" w:w="4320"/>
          </w:tcPr>
          <w:p>
            <w:r>
              <w:t>+103</w:t>
            </w:r>
          </w:p>
        </w:tc>
      </w:tr>
      <w:tr>
        <w:tc>
          <w:tcPr>
            <w:tcW w:type="dxa" w:w="4320"/>
          </w:tcPr>
          <w:p>
            <w:r>
              <w:t>lyra_app/brain/intent.py</w:t>
            </w:r>
          </w:p>
        </w:tc>
        <w:tc>
          <w:tcPr>
            <w:tcW w:type="dxa" w:w="4320"/>
          </w:tcPr>
          <w:p>
            <w:r>
              <w:t>+65</w:t>
            </w:r>
          </w:p>
        </w:tc>
      </w:tr>
      <w:tr>
        <w:tc>
          <w:tcPr>
            <w:tcW w:type="dxa" w:w="4320"/>
          </w:tcPr>
          <w:p>
            <w:r>
              <w:t>tests/test_clinical.py (novo)</w:t>
            </w:r>
          </w:p>
        </w:tc>
        <w:tc>
          <w:tcPr>
            <w:tcW w:type="dxa" w:w="4320"/>
          </w:tcPr>
          <w:p>
            <w:r>
              <w:t>+127</w:t>
            </w:r>
          </w:p>
        </w:tc>
      </w:tr>
      <w:tr>
        <w:tc>
          <w:tcPr>
            <w:tcW w:type="dxa" w:w="4320"/>
          </w:tcPr>
          <w:p>
            <w:r>
              <w:t>tests/test_i18n.py</w:t>
            </w:r>
          </w:p>
        </w:tc>
        <w:tc>
          <w:tcPr>
            <w:tcW w:type="dxa" w:w="4320"/>
          </w:tcPr>
          <w:p>
            <w:r>
              <w:t>+59</w:t>
            </w:r>
          </w:p>
        </w:tc>
      </w:tr>
      <w:tr>
        <w:tc>
          <w:tcPr>
            <w:tcW w:type="dxa" w:w="4320"/>
          </w:tcPr>
          <w:p>
            <w:r>
              <w:t>tests/test_brain.py</w:t>
            </w:r>
          </w:p>
        </w:tc>
        <w:tc>
          <w:tcPr>
            <w:tcW w:type="dxa" w:w="4320"/>
          </w:tcPr>
          <w:p>
            <w:r>
              <w:t>+57</w:t>
            </w:r>
          </w:p>
        </w:tc>
      </w:tr>
      <w:tr>
        <w:tc>
          <w:tcPr>
            <w:tcW w:type="dxa" w:w="4320"/>
          </w:tcPr>
          <w:p>
            <w:r>
              <w:t>tests/test_intent.py</w:t>
            </w:r>
          </w:p>
        </w:tc>
        <w:tc>
          <w:tcPr>
            <w:tcW w:type="dxa" w:w="4320"/>
          </w:tcPr>
          <w:p>
            <w:r>
              <w:t>+23</w:t>
            </w:r>
          </w:p>
        </w:tc>
      </w:tr>
      <w:tr>
        <w:tc>
          <w:tcPr>
            <w:tcW w:type="dxa" w:w="4320"/>
          </w:tcPr>
          <w:p>
            <w:r>
              <w:t>lyra_app/core/onboarding.py</w:t>
            </w:r>
          </w:p>
        </w:tc>
        <w:tc>
          <w:tcPr>
            <w:tcW w:type="dxa" w:w="4320"/>
          </w:tcPr>
          <w:p>
            <w:r>
              <w:t>+36</w:t>
            </w:r>
          </w:p>
        </w:tc>
      </w:tr>
      <w:tr>
        <w:tc>
          <w:tcPr>
            <w:tcW w:type="dxa" w:w="4320"/>
          </w:tcPr>
          <w:p>
            <w:r>
              <w:t>AGENTS.md / CHANGELOG.md</w:t>
            </w:r>
          </w:p>
        </w:tc>
        <w:tc>
          <w:tcPr>
            <w:tcW w:type="dxa" w:w="4320"/>
          </w:tcPr>
          <w:p>
            <w:r>
              <w:t>+59</w:t>
            </w:r>
          </w:p>
        </w:tc>
      </w:tr>
      <w:tr>
        <w:tc>
          <w:tcPr>
            <w:tcW w:type="dxa" w:w="4320"/>
          </w:tcPr>
          <w:p>
            <w:r>
              <w:t>Outros (executor, gui, onboard.html)</w:t>
            </w:r>
          </w:p>
        </w:tc>
        <w:tc>
          <w:tcPr>
            <w:tcW w:type="dxa" w:w="4320"/>
          </w:tcPr>
          <w:p>
            <w:r>
              <w:t>+23</w:t>
            </w:r>
          </w:p>
        </w:tc>
      </w:tr>
    </w:tbl>
    <w:p/>
    <w:p>
      <w:r>
        <w:rPr>
          <w:b w:val="0"/>
          <w:i/>
          <w:color w:val="666666"/>
          <w:sz w:val="16"/>
        </w:rPr>
        <w:t>Documento gerado por um agente de IA (OpenHands) a pedido de Pedro Ricardo. Os factos foram verificados contra o repositório no commit 84582a2.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