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CATÁLOGO DE FONTES DE DADOS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Sistema de Inteligência Política — Amazonas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v3 — 06/05/2026 | Neo4j auditado | BRACC-ETL + Brazil-Visible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Catálogo Completo — Todas as Fontes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Total Neo4j: ~87M nodes (auditado 05/05/2026). PNCP: ~12% baixado (maio/2023). Backup: 10.2GB concluído 05/05.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Legenda: </w:t>
      </w:r>
      <w:r>
        <w:rPr>
          <w:rFonts w:ascii="Arial" w:cs="Arial" w:eastAsia="Arial" w:hAnsi="Arial"/>
          <w:color w:val="375623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OK  </w:t>
      </w:r>
      <w:r>
        <w:rPr>
          <w:rFonts w:ascii="Arial" w:cs="Arial" w:eastAsia="Arial" w:hAnsi="Arial"/>
          <w:color w:val="7F60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Rodando  </w:t>
      </w:r>
      <w:r>
        <w:rPr>
          <w:rFonts w:ascii="Arial" w:cs="Arial" w:eastAsia="Arial" w:hAnsi="Arial"/>
          <w:color w:val="4A148C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Baixando  </w:t>
      </w:r>
      <w:r>
        <w:rPr>
          <w:rFonts w:ascii="Arial" w:cs="Arial" w:eastAsia="Arial" w:hAnsi="Arial"/>
          <w:color w:val="833C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Pendente  </w:t>
      </w:r>
      <w:r>
        <w:rPr>
          <w:rFonts w:ascii="Arial" w:cs="Arial" w:eastAsia="Arial" w:hAnsi="Arial"/>
          <w:color w:val="7F4C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Crítico AM  </w:t>
      </w:r>
      <w:r>
        <w:rPr>
          <w:rFonts w:ascii="Arial" w:cs="Arial" w:eastAsia="Arial" w:hAnsi="Arial"/>
          <w:color w:val="7F0000"/>
          <w:sz w:val="19"/>
          <w:szCs w:val="19"/>
        </w:rPr>
        <w:t xml:space="preserve">■ </w:t>
      </w:r>
      <w:r>
        <w:rPr>
          <w:rFonts w:ascii="Arial" w:cs="Arial" w:eastAsia="Arial" w:hAnsi="Arial"/>
          <w:sz w:val="19"/>
          <w:szCs w:val="19"/>
        </w:rPr>
        <w:t xml:space="preserve">A implementar / bloqueado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000"/>
        <w:gridCol w:w="1300"/>
        <w:gridCol w:w="1400"/>
        <w:gridCol w:w="11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/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Órgão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Nodes / Conteúdo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Importação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cnpj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Company 40.6M + Partner 17.7M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principal do grafo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siconfi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Tesouro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MunicipalFinance 3.4M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Índice finance_id criado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datasus (CNES)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DATASUS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612k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Só CNES baixado — SIHSUS pendente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opensanctions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OpenSanctions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GlobalPEP 117.9k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Cobre eu_sanctions+world_bank+pep_cgu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viagens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Transparência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GovTravel 260k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cpgf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Transparência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GovCardExpense 131.9k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renuncias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TaxWaiver 291.8k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Tesouro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Amendment 101.7k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Importado 05/05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icij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ICIJ Offshore Leaks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OffshoreOfficer 6.5k + Entity 4.8k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Senado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CPIs + sessões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 CEIS/CNEP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Sanction 24k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cepim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BarredNGO 3.5k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Referer fix 04/05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Expulsion 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leniency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LeniencyAgreement 115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CVMProceeding 537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cvm_funds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Fund 41.1k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holdings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Holdings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ofac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OFAC EUA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InternationalSanction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un_sanctions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InternationalSanction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bcb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Penalidades 16.4k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Olinda — reescrito 04/05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senado_cpis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Inquiry/CPI 105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querido_diario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Serenata de Amor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MunicipalGazetteAct 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Election 33.6k + 2.3M rows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Importado 06/05 ~00:27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transparencia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Transparência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64.1k + 136k rows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servidores.csv ausente — resto 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camara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Câmara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(parcial 494k)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PENDENTE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vetorizado pronto — rodar separado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pncp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PNCP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Licitações federais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12% (~maio/23)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AGUARDAR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Baixando — estimativa 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bndes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BNDES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Financiamentos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ibama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IBAMA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Embargos ambientais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Alta —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Crítico AM — 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PGFN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Devedores União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Acórdãos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comprasnet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ComprasNet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Licitações legado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transferegov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TransfereGov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Convênios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tse_bens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Bens declarados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tse_filiados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Filiados partidários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NÃO BAIXADO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 disponível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SIHSUS (DATASUS)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DATASUS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Internações SUS — desvio verba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CRÍTICO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Cruzar com CNES para detectar fraude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INPE PRODES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Desmatamento Amazônia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CRÍTICO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Receita: Desmat×CAR×Embargos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 Ambiental Rural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19"/>
                <w:szCs w:val="19"/>
              </w:rPr>
              <w:t xml:space="preserve">CRÍTICO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Receita: Desmat×CAR×Embargos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ANTAQ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Transporte aquaviário — 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 — 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Hidrovias AM — brazil-visible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CNJ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CNJ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Processos judiciais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credencial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SINESP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 pública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brazil-visible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IBGE Séries/SIDRA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IBGE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Estatísticas macro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 econômico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DATAPREV/INSS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Benefícios previdenciários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A IMPLEMENTAR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Cruzar com servidores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MTE /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Empregos formais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Imprensa Oficial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Diário Oficial União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STF /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Jurisprudência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MDS / 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Assistência social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CREDENCIAL 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 conta GCP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v3 — 06/05/2026 | BRACC-ETL + Brazil-Visible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2026-05-06T11:58:12.660Z</dcterms:created>
  <dcterms:modified xsi:type="dcterms:W3CDTF">2026-05-06T11:58:12.675Z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