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53E414" w14:textId="77777777" w:rsidR="00ED122C" w:rsidRPr="001C4EA4" w:rsidRDefault="00ED122C" w:rsidP="00ED122C">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277327CD" wp14:editId="07CAA8A3">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F61BF51" w14:textId="77777777" w:rsidR="00ED122C" w:rsidRPr="00821D63" w:rsidRDefault="00ED122C" w:rsidP="00ED122C">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3F5370E" w14:textId="77777777" w:rsidR="00ED122C" w:rsidRPr="005B3AB6" w:rsidRDefault="00ED122C" w:rsidP="00ED122C">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614DE981" w14:textId="77777777" w:rsidR="00ED122C" w:rsidRPr="00821D63" w:rsidRDefault="00ED122C" w:rsidP="00ED122C">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0503D667" w14:textId="77777777" w:rsidR="00ED122C" w:rsidRDefault="00ED122C" w:rsidP="00ED122C">
      <w:pPr>
        <w:pStyle w:val="NoSpacing"/>
        <w:spacing w:line="276" w:lineRule="auto"/>
        <w:rPr>
          <w:rFonts w:asciiTheme="minorHAnsi" w:hAnsiTheme="minorHAnsi" w:cs="Tahoma"/>
          <w:sz w:val="40"/>
          <w:szCs w:val="28"/>
        </w:rPr>
      </w:pPr>
    </w:p>
    <w:p w14:paraId="7F44ED67" w14:textId="77777777" w:rsidR="00ED122C" w:rsidRDefault="00ED122C" w:rsidP="00ED122C">
      <w:pPr>
        <w:pStyle w:val="NoSpacing"/>
        <w:spacing w:line="276" w:lineRule="auto"/>
        <w:jc w:val="center"/>
        <w:rPr>
          <w:rFonts w:asciiTheme="minorHAnsi" w:hAnsiTheme="minorHAnsi" w:cs="Tahoma"/>
          <w:sz w:val="40"/>
          <w:szCs w:val="28"/>
        </w:rPr>
      </w:pPr>
    </w:p>
    <w:p w14:paraId="12548D45" w14:textId="77777777" w:rsidR="00ED122C" w:rsidRDefault="00ED122C" w:rsidP="00ED122C">
      <w:pPr>
        <w:pStyle w:val="NoSpacing"/>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Universitario en </w:t>
      </w:r>
      <w:r>
        <w:rPr>
          <w:rFonts w:asciiTheme="majorHAnsi" w:hAnsiTheme="majorHAnsi" w:cs="Tahoma"/>
          <w:sz w:val="36"/>
          <w:szCs w:val="28"/>
        </w:rPr>
        <w:t>Inteligencia Artificial</w:t>
      </w:r>
    </w:p>
    <w:p w14:paraId="50BC457D" w14:textId="77777777" w:rsidR="00ED122C" w:rsidRDefault="00ED122C" w:rsidP="00ED122C">
      <w:pPr>
        <w:pStyle w:val="NoSpacing"/>
        <w:spacing w:line="276" w:lineRule="auto"/>
        <w:jc w:val="center"/>
      </w:pPr>
      <w:r w:rsidRPr="00ED122C">
        <w:rPr>
          <w:rFonts w:asciiTheme="minorHAnsi" w:hAnsiTheme="minorHAnsi" w:cs="Tahoma"/>
          <w:color w:val="0098CD"/>
          <w:sz w:val="52"/>
          <w:szCs w:val="28"/>
        </w:rPr>
        <w:t xml:space="preserve">Diseño e implementación de un sistema comparativo de traducción automática Inga-español mediante </w:t>
      </w:r>
      <w:r>
        <w:rPr>
          <w:rFonts w:asciiTheme="minorHAnsi" w:hAnsiTheme="minorHAnsi" w:cs="Tahoma"/>
          <w:color w:val="0098CD"/>
          <w:sz w:val="52"/>
          <w:szCs w:val="28"/>
        </w:rPr>
        <w:t>fine-tuning</w:t>
      </w:r>
      <w:r w:rsidRPr="00ED122C">
        <w:rPr>
          <w:rFonts w:asciiTheme="minorHAnsi" w:hAnsiTheme="minorHAnsi" w:cs="Tahoma"/>
          <w:color w:val="0098CD"/>
          <w:sz w:val="52"/>
          <w:szCs w:val="28"/>
        </w:rPr>
        <w:t xml:space="preserve"> de modelos multilingües y </w:t>
      </w:r>
      <w:r>
        <w:rPr>
          <w:rFonts w:asciiTheme="minorHAnsi" w:hAnsiTheme="minorHAnsi" w:cs="Tahoma"/>
          <w:color w:val="0098CD"/>
          <w:sz w:val="52"/>
          <w:szCs w:val="28"/>
        </w:rPr>
        <w:t>RAG</w:t>
      </w:r>
      <w:r w:rsidRPr="00ED122C">
        <w:rPr>
          <w:rFonts w:asciiTheme="minorHAnsi" w:hAnsiTheme="minorHAnsi" w:cs="Tahoma"/>
          <w:color w:val="0098CD"/>
          <w:sz w:val="52"/>
          <w:szCs w:val="28"/>
        </w:rPr>
        <w:t xml:space="preserve"> sobre modelos de lenguaje de frontera</w:t>
      </w:r>
    </w:p>
    <w:p w14:paraId="61C2B9CE" w14:textId="77777777" w:rsidR="00ED122C" w:rsidRDefault="00ED122C" w:rsidP="00ED122C">
      <w:pPr>
        <w:rPr>
          <w:lang w:eastAsia="en-US"/>
        </w:rPr>
      </w:pPr>
    </w:p>
    <w:p w14:paraId="065EF52C" w14:textId="77777777" w:rsidR="00ED122C" w:rsidRDefault="00ED122C" w:rsidP="00ED122C">
      <w:pPr>
        <w:rPr>
          <w:lang w:eastAsia="en-US"/>
        </w:rPr>
      </w:pPr>
      <w:r>
        <w:rPr>
          <w:lang w:eastAsia="en-US"/>
        </w:rPr>
        <w:tab/>
      </w: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ED122C" w:rsidRPr="00CA0785" w14:paraId="606914D6" w14:textId="77777777" w:rsidTr="00CE6E8D">
        <w:tc>
          <w:tcPr>
            <w:tcW w:w="3964" w:type="dxa"/>
            <w:vAlign w:val="center"/>
          </w:tcPr>
          <w:p w14:paraId="03F04A97"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6A3FC6" w14:textId="77777777" w:rsidR="00ED122C"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Eslava, Daniel</w:t>
            </w:r>
          </w:p>
          <w:p w14:paraId="6B1D5C41" w14:textId="77777777" w:rsidR="00ED122C" w:rsidRPr="00EF3680" w:rsidRDefault="00ED122C" w:rsidP="00CE6E8D">
            <w:pPr>
              <w:pStyle w:val="NoSpacing"/>
              <w:spacing w:line="276" w:lineRule="auto"/>
              <w:rPr>
                <w:rFonts w:asciiTheme="majorHAnsi" w:hAnsiTheme="majorHAnsi" w:cs="Tahoma"/>
                <w:sz w:val="24"/>
                <w:szCs w:val="28"/>
              </w:rPr>
            </w:pPr>
            <w:r>
              <w:rPr>
                <w:rFonts w:asciiTheme="majorHAnsi" w:hAnsiTheme="majorHAnsi" w:cs="Tahoma"/>
                <w:sz w:val="24"/>
                <w:szCs w:val="28"/>
              </w:rPr>
              <w:t>Santos, William</w:t>
            </w:r>
          </w:p>
        </w:tc>
      </w:tr>
      <w:tr w:rsidR="00ED122C" w:rsidRPr="00CA0785" w14:paraId="76F805CC" w14:textId="77777777" w:rsidTr="00CE6E8D">
        <w:tc>
          <w:tcPr>
            <w:tcW w:w="3964" w:type="dxa"/>
            <w:vAlign w:val="center"/>
          </w:tcPr>
          <w:p w14:paraId="3A512CE2"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5733BD75"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Piloto experimental</w:t>
            </w:r>
          </w:p>
        </w:tc>
      </w:tr>
      <w:tr w:rsidR="00ED122C" w:rsidRPr="00CA0785" w14:paraId="775B0550" w14:textId="77777777" w:rsidTr="00CE6E8D">
        <w:tc>
          <w:tcPr>
            <w:tcW w:w="3964" w:type="dxa"/>
            <w:vAlign w:val="center"/>
          </w:tcPr>
          <w:p w14:paraId="24034A36"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2D42D10F"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Víctor David Larco Torres</w:t>
            </w:r>
          </w:p>
        </w:tc>
      </w:tr>
      <w:tr w:rsidR="00ED122C" w:rsidRPr="00CA0785" w14:paraId="43FEF85B" w14:textId="77777777" w:rsidTr="00CE6E8D">
        <w:tc>
          <w:tcPr>
            <w:tcW w:w="3964" w:type="dxa"/>
            <w:vAlign w:val="center"/>
          </w:tcPr>
          <w:p w14:paraId="79E7B83C"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4993BE79"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22 de abril de 2026</w:t>
            </w:r>
          </w:p>
        </w:tc>
      </w:tr>
    </w:tbl>
    <w:p w14:paraId="278A9114" w14:textId="77777777" w:rsidR="00ED122C" w:rsidRDefault="00ED122C" w:rsidP="00ED122C">
      <w:pPr>
        <w:rPr>
          <w:lang w:eastAsia="en-US"/>
        </w:rPr>
      </w:pPr>
    </w:p>
    <w:p w14:paraId="09EC73D3" w14:textId="77777777" w:rsidR="00636E09" w:rsidRDefault="00ED122C" w:rsidP="00ED122C">
      <w:pPr>
        <w:pStyle w:val="NoSpacing"/>
        <w:jc w:val="center"/>
      </w:pPr>
      <w:r w:rsidRPr="00034DA4">
        <w:br w:type="page"/>
      </w:r>
    </w:p>
    <w:p w14:paraId="4F242B09" w14:textId="77777777" w:rsidR="00636E09" w:rsidRDefault="049C66FE">
      <w:pPr>
        <w:pStyle w:val="Ttulondices"/>
        <w:pageBreakBefore/>
      </w:pPr>
      <w:r>
        <w:lastRenderedPageBreak/>
        <w:t>Resumen</w:t>
      </w:r>
    </w:p>
    <w:p w14:paraId="3993D9C1"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La lengua Inga, una variante quechua del departamento del Putumayo en Colombia, no dispone de herramientas digitales de traducción. Cerca de 18.000 personas la hablan. Este trabajo aborda esa brecha con un sistema comparativo y bidireccional Inga-español construido sobre dos paradigmas complementarios. El primero adapta el modelo de traducción multilingüe NLLB-200-distilled-600M al par Inga-español mediante adaptadores de bajo rango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aprovechando que las lenguas quechuas emparentadas ya están presentes en el preentrenamiento del modelo. El segundo opera sobre el modelo de lenguaje de frontera Claude Sonnet 4.6, enriquecido con recuperación aumentada desde una base de conocimiento estructurada en cuatro índices vectoriales: léxico, gramatical y dos índices de ejemplos paralelos que cubren las dos direcciones de traducción.</w:t>
      </w:r>
    </w:p>
    <w:p w14:paraId="781580A6"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El corpus paralelo desarrollado alcanza 5.641 pares verificados, generados mediante alineación canónica entre el Nuevo Testamento en Inga (</w:t>
      </w:r>
      <w:proofErr w:type="spellStart"/>
      <w:r w:rsidRPr="3DB4A857">
        <w:rPr>
          <w:rFonts w:ascii="Calibri" w:eastAsia="Calibri" w:hAnsi="Calibri" w:cs="Calibri"/>
          <w:color w:val="000000" w:themeColor="text1"/>
        </w:rPr>
        <w:t>Wycliffe</w:t>
      </w:r>
      <w:proofErr w:type="spellEnd"/>
      <w:r w:rsidRPr="3DB4A857">
        <w:rPr>
          <w:rFonts w:ascii="Calibri" w:eastAsia="Calibri" w:hAnsi="Calibri" w:cs="Calibri"/>
          <w:color w:val="000000" w:themeColor="text1"/>
        </w:rPr>
        <w:t xml:space="preserve">) y la Reina-Valera 1909 en español, complementados con material jurídico de la Constitución Política de Colombia traducida al Inga por Tandioy Jansasoy y el CCELA de Uniandes. Los pares se distribuyen en particiones de entrenamiento, validación y prueba. La base de conocimiento operativa cubre 4.900 entradas léxicas, 605 bloques gramaticales y 9.024 ejemplos paralelos indexados con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 xml:space="preserve"> de Gemini sobre </w:t>
      </w:r>
      <w:proofErr w:type="spellStart"/>
      <w:r w:rsidRPr="3DB4A857">
        <w:rPr>
          <w:rFonts w:ascii="Calibri" w:eastAsia="Calibri" w:hAnsi="Calibri" w:cs="Calibri"/>
          <w:color w:val="000000" w:themeColor="text1"/>
        </w:rPr>
        <w:t>LanceDB</w:t>
      </w:r>
      <w:proofErr w:type="spellEnd"/>
      <w:r w:rsidRPr="3DB4A857">
        <w:rPr>
          <w:rFonts w:ascii="Calibri" w:eastAsia="Calibri" w:hAnsi="Calibri" w:cs="Calibri"/>
          <w:color w:val="000000" w:themeColor="text1"/>
        </w:rPr>
        <w:t>. La evaluación comparativa de las cinco configuraciones experimentales en ambas direcciones identifica al pipeline LLM con recuperación aumentada como la aproximación con mejor desempeño, alcanzando 17,89 puntos BLEU en la dirección Inga-español y 10,95 en español-Inga sobre el conjunto de validación.</w:t>
      </w:r>
    </w:p>
    <w:p w14:paraId="6BF561B4"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contribución original del trabajo es tripartita. Primero, una comparación sistemática entre adaptación NMT y recuperación aumentada sobre un mismo par lingüístico de recursos extremadamente bajos. Segundo, un sistema bidireccional que cubre Inga-español y español-Inga con un único adaptador y una arquitectura RAG simétrica. Tercero, la liberación abierta de todos los recursos derivados bajo licencias compatibles con la redistribución a la </w:t>
      </w:r>
      <w:r w:rsidRPr="3DB4A857">
        <w:rPr>
          <w:rFonts w:ascii="Calibri" w:eastAsia="Calibri" w:hAnsi="Calibri" w:cs="Calibri"/>
          <w:color w:val="000000" w:themeColor="text1"/>
        </w:rPr>
        <w:lastRenderedPageBreak/>
        <w:t>comunidad Inga, en línea con los principios éticos sistematizados por la literatura reciente sobre MT para lenguas indígenas.</w:t>
      </w:r>
    </w:p>
    <w:p w14:paraId="3FB22AE8"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b/>
          <w:bCs/>
          <w:color w:val="000000" w:themeColor="text1"/>
        </w:rPr>
        <w:t>Palabras clave:</w:t>
      </w:r>
      <w:r w:rsidRPr="3DB4A857">
        <w:rPr>
          <w:rFonts w:ascii="Calibri" w:eastAsia="Calibri" w:hAnsi="Calibri" w:cs="Calibri"/>
          <w:color w:val="000000" w:themeColor="text1"/>
        </w:rPr>
        <w:t xml:space="preserve"> traducción automática, lenguas indígenas, Inga, transfer </w:t>
      </w:r>
      <w:proofErr w:type="spellStart"/>
      <w:r w:rsidRPr="3DB4A857">
        <w:rPr>
          <w:rFonts w:ascii="Calibri" w:eastAsia="Calibri" w:hAnsi="Calibri" w:cs="Calibri"/>
          <w:color w:val="000000" w:themeColor="text1"/>
        </w:rPr>
        <w:t>learning</w:t>
      </w:r>
      <w:proofErr w:type="spellEnd"/>
      <w:r w:rsidRPr="3DB4A857">
        <w:rPr>
          <w:rFonts w:ascii="Calibri" w:eastAsia="Calibri" w:hAnsi="Calibri" w:cs="Calibri"/>
          <w:color w:val="000000" w:themeColor="text1"/>
        </w:rPr>
        <w:t>, recuperación aumentada de información</w:t>
      </w:r>
    </w:p>
    <w:p w14:paraId="3124CB24" w14:textId="77777777" w:rsidR="3DB4A857" w:rsidRDefault="3DB4A857" w:rsidP="3DB4A857">
      <w:pPr>
        <w:rPr>
          <w:rFonts w:ascii="Calibri" w:eastAsia="Calibri" w:hAnsi="Calibri" w:cs="Calibri"/>
          <w:color w:val="000000" w:themeColor="text1"/>
        </w:rPr>
      </w:pPr>
    </w:p>
    <w:p w14:paraId="6B91FB24" w14:textId="77777777" w:rsidR="3DB4A857" w:rsidRDefault="3DB4A857"/>
    <w:p w14:paraId="5A5C96D4" w14:textId="77777777" w:rsidR="00636E09" w:rsidRPr="00A616E4" w:rsidRDefault="049C66FE">
      <w:pPr>
        <w:pStyle w:val="Ttulondices"/>
        <w:pageBreakBefore/>
        <w:rPr>
          <w:lang w:val="en-US"/>
        </w:rPr>
      </w:pPr>
      <w:r w:rsidRPr="3DB4A857">
        <w:rPr>
          <w:lang w:val="en-US"/>
        </w:rPr>
        <w:lastRenderedPageBreak/>
        <w:t>Abstract</w:t>
      </w:r>
    </w:p>
    <w:p w14:paraId="2D131B82"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The Inga language, a Quechua variant from the Putumayo region of Colombia, has no available digital translation tools. It is spoken by approximately 18,000 people. This work addresses that gap with a comparative bidirectional Inga-Spanish translation system built on two complementary paradigms. The first adapts the NLLB-200-distilled-600M multilingual translation model to the Inga-Spanish pair using low-rank adapters (</w:t>
      </w:r>
      <w:proofErr w:type="spellStart"/>
      <w:r w:rsidRPr="007052CF">
        <w:rPr>
          <w:rFonts w:ascii="Calibri" w:eastAsia="Calibri" w:hAnsi="Calibri" w:cs="Calibri"/>
          <w:color w:val="000000" w:themeColor="text1"/>
          <w:lang w:val="en-US"/>
        </w:rPr>
        <w:t>LoRA</w:t>
      </w:r>
      <w:proofErr w:type="spellEnd"/>
      <w:r w:rsidRPr="007052CF">
        <w:rPr>
          <w:rFonts w:ascii="Calibri" w:eastAsia="Calibri" w:hAnsi="Calibri" w:cs="Calibri"/>
          <w:color w:val="000000" w:themeColor="text1"/>
          <w:lang w:val="en-US"/>
        </w:rPr>
        <w:t>), leveraging the fact that related Quechua languages are already present in the model's pretraining. The second runs on top of the Claude Sonnet 4.6 frontier language model, enriched with retrieval-augmented generation from a knowledge base structured into four vector indices: lexical, grammatical, and two parallel-example indices that cover both translation directions.</w:t>
      </w:r>
    </w:p>
    <w:p w14:paraId="5113118F"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 xml:space="preserve">The parallel corpus developed in this work reaches 5,641 verified pairs, generated through canonical alignment between the Inga New Testament (Wycliffe) and the Spanish Reina-Valera 1909, complemented with legal material from the Colombian Constitution translated into Inga by Tandioy Jansasoy and the CCELA at Universidad de </w:t>
      </w:r>
      <w:proofErr w:type="spellStart"/>
      <w:r w:rsidRPr="007052CF">
        <w:rPr>
          <w:rFonts w:ascii="Calibri" w:eastAsia="Calibri" w:hAnsi="Calibri" w:cs="Calibri"/>
          <w:color w:val="000000" w:themeColor="text1"/>
          <w:lang w:val="en-US"/>
        </w:rPr>
        <w:t>los</w:t>
      </w:r>
      <w:proofErr w:type="spellEnd"/>
      <w:r w:rsidRPr="007052CF">
        <w:rPr>
          <w:rFonts w:ascii="Calibri" w:eastAsia="Calibri" w:hAnsi="Calibri" w:cs="Calibri"/>
          <w:color w:val="000000" w:themeColor="text1"/>
          <w:lang w:val="en-US"/>
        </w:rPr>
        <w:t xml:space="preserve"> Andes. The pairs are distributed into training, validation, and test partitions. The operational knowledge base contains 4,900 lexical entries, 605 grammatical chunks, and 9,024 parallel examples indexed with Gemini embeddings on </w:t>
      </w:r>
      <w:proofErr w:type="spellStart"/>
      <w:r w:rsidRPr="007052CF">
        <w:rPr>
          <w:rFonts w:ascii="Calibri" w:eastAsia="Calibri" w:hAnsi="Calibri" w:cs="Calibri"/>
          <w:color w:val="000000" w:themeColor="text1"/>
          <w:lang w:val="en-US"/>
        </w:rPr>
        <w:t>LanceDB</w:t>
      </w:r>
      <w:proofErr w:type="spellEnd"/>
      <w:r w:rsidRPr="007052CF">
        <w:rPr>
          <w:rFonts w:ascii="Calibri" w:eastAsia="Calibri" w:hAnsi="Calibri" w:cs="Calibri"/>
          <w:color w:val="000000" w:themeColor="text1"/>
          <w:lang w:val="en-US"/>
        </w:rPr>
        <w:t>. The comparative evaluation of the five experimental configurations across both directions identifies the LLM pipeline with retrieval-augmented generation as the best-performing approach, reaching 17.89 BLEU points in the Inga-Spanish direction and 10.95 in Spanish-Inga on the validation set.</w:t>
      </w:r>
    </w:p>
    <w:p w14:paraId="639571CA"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The original contribution of this work is threefold. First, a systematic comparison between NMT adaptation and retrieval-augmented generation on the same extremely low-resource language pair. Second, a bidirectional system that covers both Inga-Spanish and Spanish-Inga with a single adapter and a symmetric RAG architecture. Third, the open release of all derived resources under licenses compatible with redistribution to the</w:t>
      </w:r>
      <w:r w:rsidR="4E9C6815" w:rsidRPr="007052CF">
        <w:rPr>
          <w:rFonts w:ascii="Calibri" w:eastAsia="Calibri" w:hAnsi="Calibri" w:cs="Calibri"/>
          <w:color w:val="000000" w:themeColor="text1"/>
          <w:lang w:val="en-US"/>
        </w:rPr>
        <w:t xml:space="preserve"> </w:t>
      </w:r>
      <w:r w:rsidRPr="007052CF">
        <w:rPr>
          <w:rFonts w:ascii="Calibri" w:eastAsia="Calibri" w:hAnsi="Calibri" w:cs="Calibri"/>
          <w:color w:val="000000" w:themeColor="text1"/>
          <w:lang w:val="en-US"/>
        </w:rPr>
        <w:t>Inga</w:t>
      </w:r>
      <w:r w:rsidR="5560073D" w:rsidRPr="007052CF">
        <w:rPr>
          <w:rFonts w:ascii="Calibri" w:eastAsia="Calibri" w:hAnsi="Calibri" w:cs="Calibri"/>
          <w:color w:val="000000" w:themeColor="text1"/>
          <w:lang w:val="en-US"/>
        </w:rPr>
        <w:t xml:space="preserve"> </w:t>
      </w:r>
      <w:r w:rsidRPr="007052CF">
        <w:rPr>
          <w:rFonts w:ascii="Calibri" w:eastAsia="Calibri" w:hAnsi="Calibri" w:cs="Calibri"/>
          <w:color w:val="000000" w:themeColor="text1"/>
          <w:lang w:val="en-US"/>
        </w:rPr>
        <w:t>community, in line with the ethical principles recently systematized in the literature on MT for indigenous languages.</w:t>
      </w:r>
    </w:p>
    <w:p w14:paraId="773B403A" w14:textId="77777777" w:rsidR="04B1542C" w:rsidRPr="007052CF" w:rsidRDefault="04B1542C" w:rsidP="3DB4A857">
      <w:pPr>
        <w:rPr>
          <w:lang w:val="en-US"/>
        </w:rPr>
      </w:pPr>
      <w:r w:rsidRPr="007052CF">
        <w:rPr>
          <w:rFonts w:ascii="Calibri" w:eastAsia="Calibri" w:hAnsi="Calibri" w:cs="Calibri"/>
          <w:b/>
          <w:bCs/>
          <w:color w:val="000000" w:themeColor="text1"/>
          <w:lang w:val="en-US"/>
        </w:rPr>
        <w:t>Keywords:</w:t>
      </w:r>
      <w:r w:rsidRPr="007052CF">
        <w:rPr>
          <w:rFonts w:ascii="Calibri" w:eastAsia="Calibri" w:hAnsi="Calibri" w:cs="Calibri"/>
          <w:color w:val="000000" w:themeColor="text1"/>
          <w:lang w:val="en-US"/>
        </w:rPr>
        <w:t xml:space="preserve"> machine translation, indigenous languages, Inga (Quechua), transfer learning, retrieval-augmented generation</w:t>
      </w:r>
      <w:r w:rsidRPr="3DB4A857">
        <w:rPr>
          <w:lang w:val="en-US"/>
        </w:rPr>
        <w:t xml:space="preserve"> </w:t>
      </w:r>
    </w:p>
    <w:p w14:paraId="371BD5DA" w14:textId="77777777" w:rsidR="00321062" w:rsidRDefault="00E47690" w:rsidP="00321062">
      <w:pPr>
        <w:spacing w:before="240" w:after="200"/>
      </w:pPr>
      <w:r>
        <w:rPr>
          <w:rFonts w:ascii="Calibri" w:eastAsia="Calibri" w:hAnsi="Calibri" w:cs="Calibri"/>
          <w:b/>
          <w:bCs/>
          <w:sz w:val="32"/>
          <w:szCs w:val="32"/>
        </w:rPr>
        <w:lastRenderedPageBreak/>
        <w:t xml:space="preserve">Índice </w:t>
      </w:r>
      <w:r w:rsidR="00321062">
        <w:rPr>
          <w:rFonts w:ascii="Calibri" w:eastAsia="Calibri" w:hAnsi="Calibri" w:cs="Calibri"/>
          <w:b/>
          <w:bCs/>
          <w:sz w:val="32"/>
          <w:szCs w:val="32"/>
        </w:rPr>
        <w:t>de contenidos</w:t>
      </w:r>
    </w:p>
    <w:sdt>
      <w:sdtPr>
        <w:rPr>
          <w:rFonts w:cs="Times New Roman"/>
          <w:noProof w:val="0"/>
        </w:rPr>
        <w:id w:val="944275209"/>
        <w:docPartObj>
          <w:docPartGallery w:val="Table of Contents"/>
          <w:docPartUnique/>
        </w:docPartObj>
      </w:sdtPr>
      <w:sdtEndPr>
        <w:rPr>
          <w:b/>
          <w:bCs/>
        </w:rPr>
      </w:sdtEndPr>
      <w:sdtContent>
        <w:p w14:paraId="41E7CB83" w14:textId="77777777" w:rsidR="00E47690" w:rsidRDefault="00E47690">
          <w:pPr>
            <w:pStyle w:val="TOCHeading"/>
          </w:pPr>
          <w:r>
            <w:t>Table of Contents</w:t>
          </w:r>
        </w:p>
        <w:p w14:paraId="377098E1" w14:textId="4102BE33" w:rsidR="005E4874" w:rsidRDefault="00E47690">
          <w:pPr>
            <w:pStyle w:val="TOC1"/>
            <w:tabs>
              <w:tab w:val="left" w:pos="480"/>
              <w:tab w:val="right" w:leader="dot" w:pos="9061"/>
            </w:tabs>
            <w:rPr>
              <w:rFonts w:eastAsiaTheme="minorEastAsia" w:cstheme="minorBidi"/>
              <w:b w:val="0"/>
              <w:bCs w:val="0"/>
              <w:caps w:val="0"/>
              <w:noProof/>
              <w:kern w:val="2"/>
              <w:sz w:val="24"/>
              <w:szCs w:val="24"/>
              <w:lang w:val="en-CO" w:eastAsia="en-US"/>
              <w14:ligatures w14:val="standardContextual"/>
            </w:rPr>
          </w:pPr>
          <w:r>
            <w:rPr>
              <w:b w:val="0"/>
              <w:bCs w:val="0"/>
            </w:rPr>
            <w:fldChar w:fldCharType="begin"/>
          </w:r>
          <w:r>
            <w:instrText xml:space="preserve"> TOC \o "1-3" \h \z \u </w:instrText>
          </w:r>
          <w:r>
            <w:rPr>
              <w:b w:val="0"/>
              <w:bCs w:val="0"/>
            </w:rPr>
            <w:fldChar w:fldCharType="separate"/>
          </w:r>
          <w:hyperlink w:anchor="_Toc233199056" w:history="1">
            <w:r w:rsidR="005E4874" w:rsidRPr="00600453">
              <w:rPr>
                <w:rStyle w:val="Hyperlink"/>
                <w:noProof/>
              </w:rPr>
              <w:t>1.</w:t>
            </w:r>
            <w:r w:rsidR="005E4874">
              <w:rPr>
                <w:rFonts w:eastAsiaTheme="minorEastAsia" w:cstheme="minorBidi"/>
                <w:b w:val="0"/>
                <w:bCs w:val="0"/>
                <w:caps w:val="0"/>
                <w:noProof/>
                <w:kern w:val="2"/>
                <w:sz w:val="24"/>
                <w:szCs w:val="24"/>
                <w:lang w:val="en-CO" w:eastAsia="en-US"/>
                <w14:ligatures w14:val="standardContextual"/>
              </w:rPr>
              <w:tab/>
            </w:r>
            <w:r w:rsidR="005E4874" w:rsidRPr="00600453">
              <w:rPr>
                <w:rStyle w:val="Hyperlink"/>
                <w:noProof/>
              </w:rPr>
              <w:t>Introducción</w:t>
            </w:r>
            <w:r w:rsidR="005E4874">
              <w:rPr>
                <w:noProof/>
                <w:webHidden/>
              </w:rPr>
              <w:tab/>
            </w:r>
            <w:r w:rsidR="005E4874">
              <w:rPr>
                <w:noProof/>
                <w:webHidden/>
              </w:rPr>
              <w:fldChar w:fldCharType="begin"/>
            </w:r>
            <w:r w:rsidR="005E4874">
              <w:rPr>
                <w:noProof/>
                <w:webHidden/>
              </w:rPr>
              <w:instrText xml:space="preserve"> PAGEREF _Toc233199056 \h </w:instrText>
            </w:r>
            <w:r w:rsidR="005E4874">
              <w:rPr>
                <w:noProof/>
                <w:webHidden/>
              </w:rPr>
            </w:r>
            <w:r w:rsidR="005E4874">
              <w:rPr>
                <w:noProof/>
                <w:webHidden/>
              </w:rPr>
              <w:fldChar w:fldCharType="separate"/>
            </w:r>
            <w:r w:rsidR="005E4874">
              <w:rPr>
                <w:noProof/>
                <w:webHidden/>
              </w:rPr>
              <w:t>12</w:t>
            </w:r>
            <w:r w:rsidR="005E4874">
              <w:rPr>
                <w:noProof/>
                <w:webHidden/>
              </w:rPr>
              <w:fldChar w:fldCharType="end"/>
            </w:r>
          </w:hyperlink>
        </w:p>
        <w:p w14:paraId="75A5CD3F" w14:textId="4CEABBA2"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57" w:history="1">
            <w:r w:rsidRPr="00600453">
              <w:rPr>
                <w:rStyle w:val="Hyperlink"/>
                <w:noProof/>
              </w:rPr>
              <w:t>1.1.</w:t>
            </w:r>
            <w:r>
              <w:rPr>
                <w:rFonts w:eastAsiaTheme="minorEastAsia" w:cstheme="minorBidi"/>
                <w:smallCaps w:val="0"/>
                <w:noProof/>
                <w:kern w:val="2"/>
                <w:sz w:val="24"/>
                <w:szCs w:val="24"/>
                <w:lang w:val="en-CO" w:eastAsia="en-US"/>
                <w14:ligatures w14:val="standardContextual"/>
              </w:rPr>
              <w:tab/>
            </w:r>
            <w:r w:rsidRPr="00600453">
              <w:rPr>
                <w:rStyle w:val="Hyperlink"/>
                <w:noProof/>
              </w:rPr>
              <w:t>Motivación</w:t>
            </w:r>
            <w:r>
              <w:rPr>
                <w:noProof/>
                <w:webHidden/>
              </w:rPr>
              <w:tab/>
            </w:r>
            <w:r>
              <w:rPr>
                <w:noProof/>
                <w:webHidden/>
              </w:rPr>
              <w:fldChar w:fldCharType="begin"/>
            </w:r>
            <w:r>
              <w:rPr>
                <w:noProof/>
                <w:webHidden/>
              </w:rPr>
              <w:instrText xml:space="preserve"> PAGEREF _Toc233199057 \h </w:instrText>
            </w:r>
            <w:r>
              <w:rPr>
                <w:noProof/>
                <w:webHidden/>
              </w:rPr>
            </w:r>
            <w:r>
              <w:rPr>
                <w:noProof/>
                <w:webHidden/>
              </w:rPr>
              <w:fldChar w:fldCharType="separate"/>
            </w:r>
            <w:r>
              <w:rPr>
                <w:noProof/>
                <w:webHidden/>
              </w:rPr>
              <w:t>12</w:t>
            </w:r>
            <w:r>
              <w:rPr>
                <w:noProof/>
                <w:webHidden/>
              </w:rPr>
              <w:fldChar w:fldCharType="end"/>
            </w:r>
          </w:hyperlink>
        </w:p>
        <w:p w14:paraId="74BFDE19" w14:textId="32212F8F"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58" w:history="1">
            <w:r w:rsidRPr="00600453">
              <w:rPr>
                <w:rStyle w:val="Hyperlink"/>
                <w:noProof/>
              </w:rPr>
              <w:t>1.2.</w:t>
            </w:r>
            <w:r>
              <w:rPr>
                <w:rFonts w:eastAsiaTheme="minorEastAsia" w:cstheme="minorBidi"/>
                <w:smallCaps w:val="0"/>
                <w:noProof/>
                <w:kern w:val="2"/>
                <w:sz w:val="24"/>
                <w:szCs w:val="24"/>
                <w:lang w:val="en-CO" w:eastAsia="en-US"/>
                <w14:ligatures w14:val="standardContextual"/>
              </w:rPr>
              <w:tab/>
            </w:r>
            <w:r w:rsidRPr="00600453">
              <w:rPr>
                <w:rStyle w:val="Hyperlink"/>
                <w:noProof/>
              </w:rPr>
              <w:t>Planteamiento del trabajo</w:t>
            </w:r>
            <w:r>
              <w:rPr>
                <w:noProof/>
                <w:webHidden/>
              </w:rPr>
              <w:tab/>
            </w:r>
            <w:r>
              <w:rPr>
                <w:noProof/>
                <w:webHidden/>
              </w:rPr>
              <w:fldChar w:fldCharType="begin"/>
            </w:r>
            <w:r>
              <w:rPr>
                <w:noProof/>
                <w:webHidden/>
              </w:rPr>
              <w:instrText xml:space="preserve"> PAGEREF _Toc233199058 \h </w:instrText>
            </w:r>
            <w:r>
              <w:rPr>
                <w:noProof/>
                <w:webHidden/>
              </w:rPr>
            </w:r>
            <w:r>
              <w:rPr>
                <w:noProof/>
                <w:webHidden/>
              </w:rPr>
              <w:fldChar w:fldCharType="separate"/>
            </w:r>
            <w:r>
              <w:rPr>
                <w:noProof/>
                <w:webHidden/>
              </w:rPr>
              <w:t>14</w:t>
            </w:r>
            <w:r>
              <w:rPr>
                <w:noProof/>
                <w:webHidden/>
              </w:rPr>
              <w:fldChar w:fldCharType="end"/>
            </w:r>
          </w:hyperlink>
        </w:p>
        <w:p w14:paraId="7FB85ACA" w14:textId="75663D0A"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59" w:history="1">
            <w:r w:rsidRPr="00600453">
              <w:rPr>
                <w:rStyle w:val="Hyperlink"/>
                <w:noProof/>
              </w:rPr>
              <w:t>1.3.</w:t>
            </w:r>
            <w:r>
              <w:rPr>
                <w:rFonts w:eastAsiaTheme="minorEastAsia" w:cstheme="minorBidi"/>
                <w:smallCaps w:val="0"/>
                <w:noProof/>
                <w:kern w:val="2"/>
                <w:sz w:val="24"/>
                <w:szCs w:val="24"/>
                <w:lang w:val="en-CO" w:eastAsia="en-US"/>
                <w14:ligatures w14:val="standardContextual"/>
              </w:rPr>
              <w:tab/>
            </w:r>
            <w:r w:rsidRPr="00600453">
              <w:rPr>
                <w:rStyle w:val="Hyperlink"/>
                <w:noProof/>
              </w:rPr>
              <w:t>Estructura del trabajo</w:t>
            </w:r>
            <w:r>
              <w:rPr>
                <w:noProof/>
                <w:webHidden/>
              </w:rPr>
              <w:tab/>
            </w:r>
            <w:r>
              <w:rPr>
                <w:noProof/>
                <w:webHidden/>
              </w:rPr>
              <w:fldChar w:fldCharType="begin"/>
            </w:r>
            <w:r>
              <w:rPr>
                <w:noProof/>
                <w:webHidden/>
              </w:rPr>
              <w:instrText xml:space="preserve"> PAGEREF _Toc233199059 \h </w:instrText>
            </w:r>
            <w:r>
              <w:rPr>
                <w:noProof/>
                <w:webHidden/>
              </w:rPr>
            </w:r>
            <w:r>
              <w:rPr>
                <w:noProof/>
                <w:webHidden/>
              </w:rPr>
              <w:fldChar w:fldCharType="separate"/>
            </w:r>
            <w:r>
              <w:rPr>
                <w:noProof/>
                <w:webHidden/>
              </w:rPr>
              <w:t>16</w:t>
            </w:r>
            <w:r>
              <w:rPr>
                <w:noProof/>
                <w:webHidden/>
              </w:rPr>
              <w:fldChar w:fldCharType="end"/>
            </w:r>
          </w:hyperlink>
        </w:p>
        <w:p w14:paraId="5E80055F" w14:textId="4296E01C" w:rsidR="005E4874" w:rsidRDefault="005E4874">
          <w:pPr>
            <w:pStyle w:val="TOC1"/>
            <w:tabs>
              <w:tab w:val="left" w:pos="480"/>
              <w:tab w:val="right" w:leader="dot" w:pos="9061"/>
            </w:tabs>
            <w:rPr>
              <w:rFonts w:eastAsiaTheme="minorEastAsia" w:cstheme="minorBidi"/>
              <w:b w:val="0"/>
              <w:bCs w:val="0"/>
              <w:caps w:val="0"/>
              <w:noProof/>
              <w:kern w:val="2"/>
              <w:sz w:val="24"/>
              <w:szCs w:val="24"/>
              <w:lang w:val="en-CO" w:eastAsia="en-US"/>
              <w14:ligatures w14:val="standardContextual"/>
            </w:rPr>
          </w:pPr>
          <w:hyperlink w:anchor="_Toc233199060" w:history="1">
            <w:r w:rsidRPr="00600453">
              <w:rPr>
                <w:rStyle w:val="Hyperlink"/>
                <w:noProof/>
              </w:rPr>
              <w:t>2.</w:t>
            </w:r>
            <w:r>
              <w:rPr>
                <w:rFonts w:eastAsiaTheme="minorEastAsia" w:cstheme="minorBidi"/>
                <w:b w:val="0"/>
                <w:bCs w:val="0"/>
                <w:caps w:val="0"/>
                <w:noProof/>
                <w:kern w:val="2"/>
                <w:sz w:val="24"/>
                <w:szCs w:val="24"/>
                <w:lang w:val="en-CO" w:eastAsia="en-US"/>
                <w14:ligatures w14:val="standardContextual"/>
              </w:rPr>
              <w:tab/>
            </w:r>
            <w:r w:rsidRPr="00600453">
              <w:rPr>
                <w:rStyle w:val="Hyperlink"/>
                <w:noProof/>
              </w:rPr>
              <w:t>Contexto y estado del arte</w:t>
            </w:r>
            <w:r>
              <w:rPr>
                <w:noProof/>
                <w:webHidden/>
              </w:rPr>
              <w:tab/>
            </w:r>
            <w:r>
              <w:rPr>
                <w:noProof/>
                <w:webHidden/>
              </w:rPr>
              <w:fldChar w:fldCharType="begin"/>
            </w:r>
            <w:r>
              <w:rPr>
                <w:noProof/>
                <w:webHidden/>
              </w:rPr>
              <w:instrText xml:space="preserve"> PAGEREF _Toc233199060 \h </w:instrText>
            </w:r>
            <w:r>
              <w:rPr>
                <w:noProof/>
                <w:webHidden/>
              </w:rPr>
            </w:r>
            <w:r>
              <w:rPr>
                <w:noProof/>
                <w:webHidden/>
              </w:rPr>
              <w:fldChar w:fldCharType="separate"/>
            </w:r>
            <w:r>
              <w:rPr>
                <w:noProof/>
                <w:webHidden/>
              </w:rPr>
              <w:t>18</w:t>
            </w:r>
            <w:r>
              <w:rPr>
                <w:noProof/>
                <w:webHidden/>
              </w:rPr>
              <w:fldChar w:fldCharType="end"/>
            </w:r>
          </w:hyperlink>
        </w:p>
        <w:p w14:paraId="705AEF71" w14:textId="423E9363"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61" w:history="1">
            <w:r w:rsidRPr="00600453">
              <w:rPr>
                <w:rStyle w:val="Hyperlink"/>
                <w:noProof/>
              </w:rPr>
              <w:t>2.1.</w:t>
            </w:r>
            <w:r>
              <w:rPr>
                <w:rFonts w:eastAsiaTheme="minorEastAsia" w:cstheme="minorBidi"/>
                <w:smallCaps w:val="0"/>
                <w:noProof/>
                <w:kern w:val="2"/>
                <w:sz w:val="24"/>
                <w:szCs w:val="24"/>
                <w:lang w:val="en-CO" w:eastAsia="en-US"/>
                <w14:ligatures w14:val="standardContextual"/>
              </w:rPr>
              <w:tab/>
            </w:r>
            <w:r w:rsidRPr="00600453">
              <w:rPr>
                <w:rStyle w:val="Hyperlink"/>
                <w:noProof/>
              </w:rPr>
              <w:t>Contexto del problema</w:t>
            </w:r>
            <w:r>
              <w:rPr>
                <w:noProof/>
                <w:webHidden/>
              </w:rPr>
              <w:tab/>
            </w:r>
            <w:r>
              <w:rPr>
                <w:noProof/>
                <w:webHidden/>
              </w:rPr>
              <w:fldChar w:fldCharType="begin"/>
            </w:r>
            <w:r>
              <w:rPr>
                <w:noProof/>
                <w:webHidden/>
              </w:rPr>
              <w:instrText xml:space="preserve"> PAGEREF _Toc233199061 \h </w:instrText>
            </w:r>
            <w:r>
              <w:rPr>
                <w:noProof/>
                <w:webHidden/>
              </w:rPr>
            </w:r>
            <w:r>
              <w:rPr>
                <w:noProof/>
                <w:webHidden/>
              </w:rPr>
              <w:fldChar w:fldCharType="separate"/>
            </w:r>
            <w:r>
              <w:rPr>
                <w:noProof/>
                <w:webHidden/>
              </w:rPr>
              <w:t>18</w:t>
            </w:r>
            <w:r>
              <w:rPr>
                <w:noProof/>
                <w:webHidden/>
              </w:rPr>
              <w:fldChar w:fldCharType="end"/>
            </w:r>
          </w:hyperlink>
        </w:p>
        <w:p w14:paraId="6BA0AB66" w14:textId="6FBD9275"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62" w:history="1">
            <w:r w:rsidRPr="00600453">
              <w:rPr>
                <w:rStyle w:val="Hyperlink"/>
                <w:noProof/>
              </w:rPr>
              <w:t>2.1.1.</w:t>
            </w:r>
            <w:r>
              <w:rPr>
                <w:rFonts w:eastAsiaTheme="minorEastAsia" w:cstheme="minorBidi"/>
                <w:i w:val="0"/>
                <w:iCs w:val="0"/>
                <w:noProof/>
                <w:kern w:val="2"/>
                <w:sz w:val="24"/>
                <w:szCs w:val="24"/>
                <w:lang w:val="en-CO" w:eastAsia="en-US"/>
                <w14:ligatures w14:val="standardContextual"/>
              </w:rPr>
              <w:tab/>
            </w:r>
            <w:r w:rsidRPr="00600453">
              <w:rPr>
                <w:rStyle w:val="Hyperlink"/>
                <w:noProof/>
              </w:rPr>
              <w:t>La lengua Inga y su situación en el Putumayo</w:t>
            </w:r>
            <w:r>
              <w:rPr>
                <w:noProof/>
                <w:webHidden/>
              </w:rPr>
              <w:tab/>
            </w:r>
            <w:r>
              <w:rPr>
                <w:noProof/>
                <w:webHidden/>
              </w:rPr>
              <w:fldChar w:fldCharType="begin"/>
            </w:r>
            <w:r>
              <w:rPr>
                <w:noProof/>
                <w:webHidden/>
              </w:rPr>
              <w:instrText xml:space="preserve"> PAGEREF _Toc233199062 \h </w:instrText>
            </w:r>
            <w:r>
              <w:rPr>
                <w:noProof/>
                <w:webHidden/>
              </w:rPr>
            </w:r>
            <w:r>
              <w:rPr>
                <w:noProof/>
                <w:webHidden/>
              </w:rPr>
              <w:fldChar w:fldCharType="separate"/>
            </w:r>
            <w:r>
              <w:rPr>
                <w:noProof/>
                <w:webHidden/>
              </w:rPr>
              <w:t>18</w:t>
            </w:r>
            <w:r>
              <w:rPr>
                <w:noProof/>
                <w:webHidden/>
              </w:rPr>
              <w:fldChar w:fldCharType="end"/>
            </w:r>
          </w:hyperlink>
        </w:p>
        <w:p w14:paraId="0DDC50BC" w14:textId="1B368555"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63" w:history="1">
            <w:r w:rsidRPr="00600453">
              <w:rPr>
                <w:rStyle w:val="Hyperlink"/>
                <w:noProof/>
              </w:rPr>
              <w:t>2.1.2.</w:t>
            </w:r>
            <w:r>
              <w:rPr>
                <w:rFonts w:eastAsiaTheme="minorEastAsia" w:cstheme="minorBidi"/>
                <w:i w:val="0"/>
                <w:iCs w:val="0"/>
                <w:noProof/>
                <w:kern w:val="2"/>
                <w:sz w:val="24"/>
                <w:szCs w:val="24"/>
                <w:lang w:val="en-CO" w:eastAsia="en-US"/>
                <w14:ligatures w14:val="standardContextual"/>
              </w:rPr>
              <w:tab/>
            </w:r>
            <w:r w:rsidRPr="00600453">
              <w:rPr>
                <w:rStyle w:val="Hyperlink"/>
                <w:noProof/>
              </w:rPr>
              <w:t>Marco legal-político en Colombia y contexto internacional</w:t>
            </w:r>
            <w:r>
              <w:rPr>
                <w:noProof/>
                <w:webHidden/>
              </w:rPr>
              <w:tab/>
            </w:r>
            <w:r>
              <w:rPr>
                <w:noProof/>
                <w:webHidden/>
              </w:rPr>
              <w:fldChar w:fldCharType="begin"/>
            </w:r>
            <w:r>
              <w:rPr>
                <w:noProof/>
                <w:webHidden/>
              </w:rPr>
              <w:instrText xml:space="preserve"> PAGEREF _Toc233199063 \h </w:instrText>
            </w:r>
            <w:r>
              <w:rPr>
                <w:noProof/>
                <w:webHidden/>
              </w:rPr>
            </w:r>
            <w:r>
              <w:rPr>
                <w:noProof/>
                <w:webHidden/>
              </w:rPr>
              <w:fldChar w:fldCharType="separate"/>
            </w:r>
            <w:r>
              <w:rPr>
                <w:noProof/>
                <w:webHidden/>
              </w:rPr>
              <w:t>20</w:t>
            </w:r>
            <w:r>
              <w:rPr>
                <w:noProof/>
                <w:webHidden/>
              </w:rPr>
              <w:fldChar w:fldCharType="end"/>
            </w:r>
          </w:hyperlink>
        </w:p>
        <w:p w14:paraId="5811E655" w14:textId="14E31B9E"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64" w:history="1">
            <w:r w:rsidRPr="00600453">
              <w:rPr>
                <w:rStyle w:val="Hyperlink"/>
                <w:noProof/>
              </w:rPr>
              <w:t>2.1.3.</w:t>
            </w:r>
            <w:r>
              <w:rPr>
                <w:rFonts w:eastAsiaTheme="minorEastAsia" w:cstheme="minorBidi"/>
                <w:i w:val="0"/>
                <w:iCs w:val="0"/>
                <w:noProof/>
                <w:kern w:val="2"/>
                <w:sz w:val="24"/>
                <w:szCs w:val="24"/>
                <w:lang w:val="en-CO" w:eastAsia="en-US"/>
                <w14:ligatures w14:val="standardContextual"/>
              </w:rPr>
              <w:tab/>
            </w:r>
            <w:r w:rsidRPr="00600453">
              <w:rPr>
                <w:rStyle w:val="Hyperlink"/>
                <w:noProof/>
              </w:rPr>
              <w:t>Traducción automática de bajos recursos: fundamentos</w:t>
            </w:r>
            <w:r>
              <w:rPr>
                <w:noProof/>
                <w:webHidden/>
              </w:rPr>
              <w:tab/>
            </w:r>
            <w:r>
              <w:rPr>
                <w:noProof/>
                <w:webHidden/>
              </w:rPr>
              <w:fldChar w:fldCharType="begin"/>
            </w:r>
            <w:r>
              <w:rPr>
                <w:noProof/>
                <w:webHidden/>
              </w:rPr>
              <w:instrText xml:space="preserve"> PAGEREF _Toc233199064 \h </w:instrText>
            </w:r>
            <w:r>
              <w:rPr>
                <w:noProof/>
                <w:webHidden/>
              </w:rPr>
            </w:r>
            <w:r>
              <w:rPr>
                <w:noProof/>
                <w:webHidden/>
              </w:rPr>
              <w:fldChar w:fldCharType="separate"/>
            </w:r>
            <w:r>
              <w:rPr>
                <w:noProof/>
                <w:webHidden/>
              </w:rPr>
              <w:t>21</w:t>
            </w:r>
            <w:r>
              <w:rPr>
                <w:noProof/>
                <w:webHidden/>
              </w:rPr>
              <w:fldChar w:fldCharType="end"/>
            </w:r>
          </w:hyperlink>
        </w:p>
        <w:p w14:paraId="41BE20E6" w14:textId="1773AD0E"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65" w:history="1">
            <w:r w:rsidRPr="00600453">
              <w:rPr>
                <w:rStyle w:val="Hyperlink"/>
                <w:noProof/>
              </w:rPr>
              <w:t>2.1.4.</w:t>
            </w:r>
            <w:r>
              <w:rPr>
                <w:rFonts w:eastAsiaTheme="minorEastAsia" w:cstheme="minorBidi"/>
                <w:i w:val="0"/>
                <w:iCs w:val="0"/>
                <w:noProof/>
                <w:kern w:val="2"/>
                <w:sz w:val="24"/>
                <w:szCs w:val="24"/>
                <w:lang w:val="en-CO" w:eastAsia="en-US"/>
                <w14:ligatures w14:val="standardContextual"/>
              </w:rPr>
              <w:tab/>
            </w:r>
            <w:r w:rsidRPr="00600453">
              <w:rPr>
                <w:rStyle w:val="Hyperlink"/>
                <w:noProof/>
              </w:rPr>
              <w:t>Transfer learning y recuperación aumentada: definiciones</w:t>
            </w:r>
            <w:r>
              <w:rPr>
                <w:noProof/>
                <w:webHidden/>
              </w:rPr>
              <w:tab/>
            </w:r>
            <w:r>
              <w:rPr>
                <w:noProof/>
                <w:webHidden/>
              </w:rPr>
              <w:fldChar w:fldCharType="begin"/>
            </w:r>
            <w:r>
              <w:rPr>
                <w:noProof/>
                <w:webHidden/>
              </w:rPr>
              <w:instrText xml:space="preserve"> PAGEREF _Toc233199065 \h </w:instrText>
            </w:r>
            <w:r>
              <w:rPr>
                <w:noProof/>
                <w:webHidden/>
              </w:rPr>
            </w:r>
            <w:r>
              <w:rPr>
                <w:noProof/>
                <w:webHidden/>
              </w:rPr>
              <w:fldChar w:fldCharType="separate"/>
            </w:r>
            <w:r>
              <w:rPr>
                <w:noProof/>
                <w:webHidden/>
              </w:rPr>
              <w:t>22</w:t>
            </w:r>
            <w:r>
              <w:rPr>
                <w:noProof/>
                <w:webHidden/>
              </w:rPr>
              <w:fldChar w:fldCharType="end"/>
            </w:r>
          </w:hyperlink>
        </w:p>
        <w:p w14:paraId="3600DF1D" w14:textId="04F77B42"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66" w:history="1">
            <w:r w:rsidRPr="00600453">
              <w:rPr>
                <w:rStyle w:val="Hyperlink"/>
                <w:noProof/>
              </w:rPr>
              <w:t>2.2.</w:t>
            </w:r>
            <w:r>
              <w:rPr>
                <w:rFonts w:eastAsiaTheme="minorEastAsia" w:cstheme="minorBidi"/>
                <w:smallCaps w:val="0"/>
                <w:noProof/>
                <w:kern w:val="2"/>
                <w:sz w:val="24"/>
                <w:szCs w:val="24"/>
                <w:lang w:val="en-CO" w:eastAsia="en-US"/>
                <w14:ligatures w14:val="standardContextual"/>
              </w:rPr>
              <w:tab/>
            </w:r>
            <w:r w:rsidRPr="00600453">
              <w:rPr>
                <w:rStyle w:val="Hyperlink"/>
                <w:noProof/>
              </w:rPr>
              <w:t>Estado del arte</w:t>
            </w:r>
            <w:r>
              <w:rPr>
                <w:noProof/>
                <w:webHidden/>
              </w:rPr>
              <w:tab/>
            </w:r>
            <w:r>
              <w:rPr>
                <w:noProof/>
                <w:webHidden/>
              </w:rPr>
              <w:fldChar w:fldCharType="begin"/>
            </w:r>
            <w:r>
              <w:rPr>
                <w:noProof/>
                <w:webHidden/>
              </w:rPr>
              <w:instrText xml:space="preserve"> PAGEREF _Toc233199066 \h </w:instrText>
            </w:r>
            <w:r>
              <w:rPr>
                <w:noProof/>
                <w:webHidden/>
              </w:rPr>
            </w:r>
            <w:r>
              <w:rPr>
                <w:noProof/>
                <w:webHidden/>
              </w:rPr>
              <w:fldChar w:fldCharType="separate"/>
            </w:r>
            <w:r>
              <w:rPr>
                <w:noProof/>
                <w:webHidden/>
              </w:rPr>
              <w:t>24</w:t>
            </w:r>
            <w:r>
              <w:rPr>
                <w:noProof/>
                <w:webHidden/>
              </w:rPr>
              <w:fldChar w:fldCharType="end"/>
            </w:r>
          </w:hyperlink>
        </w:p>
        <w:p w14:paraId="5A7C20EB" w14:textId="2B2CA0B9"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67" w:history="1">
            <w:r w:rsidRPr="00600453">
              <w:rPr>
                <w:rStyle w:val="Hyperlink"/>
                <w:noProof/>
              </w:rPr>
              <w:t>2.2.1.</w:t>
            </w:r>
            <w:r>
              <w:rPr>
                <w:rFonts w:eastAsiaTheme="minorEastAsia" w:cstheme="minorBidi"/>
                <w:i w:val="0"/>
                <w:iCs w:val="0"/>
                <w:noProof/>
                <w:kern w:val="2"/>
                <w:sz w:val="24"/>
                <w:szCs w:val="24"/>
                <w:lang w:val="en-CO" w:eastAsia="en-US"/>
                <w14:ligatures w14:val="standardContextual"/>
              </w:rPr>
              <w:tab/>
            </w:r>
            <w:r w:rsidRPr="00600453">
              <w:rPr>
                <w:rStyle w:val="Hyperlink"/>
                <w:noProof/>
              </w:rPr>
              <w:t>Procesamiento del lenguaje natural para lenguas indígenas de América Latina</w:t>
            </w:r>
            <w:r>
              <w:rPr>
                <w:noProof/>
                <w:webHidden/>
              </w:rPr>
              <w:tab/>
            </w:r>
            <w:r>
              <w:rPr>
                <w:noProof/>
                <w:webHidden/>
              </w:rPr>
              <w:fldChar w:fldCharType="begin"/>
            </w:r>
            <w:r>
              <w:rPr>
                <w:noProof/>
                <w:webHidden/>
              </w:rPr>
              <w:instrText xml:space="preserve"> PAGEREF _Toc233199067 \h </w:instrText>
            </w:r>
            <w:r>
              <w:rPr>
                <w:noProof/>
                <w:webHidden/>
              </w:rPr>
            </w:r>
            <w:r>
              <w:rPr>
                <w:noProof/>
                <w:webHidden/>
              </w:rPr>
              <w:fldChar w:fldCharType="separate"/>
            </w:r>
            <w:r>
              <w:rPr>
                <w:noProof/>
                <w:webHidden/>
              </w:rPr>
              <w:t>24</w:t>
            </w:r>
            <w:r>
              <w:rPr>
                <w:noProof/>
                <w:webHidden/>
              </w:rPr>
              <w:fldChar w:fldCharType="end"/>
            </w:r>
          </w:hyperlink>
        </w:p>
        <w:p w14:paraId="6707B8DA" w14:textId="34D65B68"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68" w:history="1">
            <w:r w:rsidRPr="00600453">
              <w:rPr>
                <w:rStyle w:val="Hyperlink"/>
                <w:noProof/>
              </w:rPr>
              <w:t>2.2.2.</w:t>
            </w:r>
            <w:r>
              <w:rPr>
                <w:rFonts w:eastAsiaTheme="minorEastAsia" w:cstheme="minorBidi"/>
                <w:i w:val="0"/>
                <w:iCs w:val="0"/>
                <w:noProof/>
                <w:kern w:val="2"/>
                <w:sz w:val="24"/>
                <w:szCs w:val="24"/>
                <w:lang w:val="en-CO" w:eastAsia="en-US"/>
                <w14:ligatures w14:val="standardContextual"/>
              </w:rPr>
              <w:tab/>
            </w:r>
            <w:r w:rsidRPr="00600453">
              <w:rPr>
                <w:rStyle w:val="Hyperlink"/>
                <w:noProof/>
              </w:rPr>
              <w:t>Traducción automática de lenguas indígenas colombianas</w:t>
            </w:r>
            <w:r>
              <w:rPr>
                <w:noProof/>
                <w:webHidden/>
              </w:rPr>
              <w:tab/>
            </w:r>
            <w:r>
              <w:rPr>
                <w:noProof/>
                <w:webHidden/>
              </w:rPr>
              <w:fldChar w:fldCharType="begin"/>
            </w:r>
            <w:r>
              <w:rPr>
                <w:noProof/>
                <w:webHidden/>
              </w:rPr>
              <w:instrText xml:space="preserve"> PAGEREF _Toc233199068 \h </w:instrText>
            </w:r>
            <w:r>
              <w:rPr>
                <w:noProof/>
                <w:webHidden/>
              </w:rPr>
            </w:r>
            <w:r>
              <w:rPr>
                <w:noProof/>
                <w:webHidden/>
              </w:rPr>
              <w:fldChar w:fldCharType="separate"/>
            </w:r>
            <w:r>
              <w:rPr>
                <w:noProof/>
                <w:webHidden/>
              </w:rPr>
              <w:t>25</w:t>
            </w:r>
            <w:r>
              <w:rPr>
                <w:noProof/>
                <w:webHidden/>
              </w:rPr>
              <w:fldChar w:fldCharType="end"/>
            </w:r>
          </w:hyperlink>
        </w:p>
        <w:p w14:paraId="2E4B6919" w14:textId="4CF9E7C1"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69" w:history="1">
            <w:r w:rsidRPr="00600453">
              <w:rPr>
                <w:rStyle w:val="Hyperlink"/>
                <w:noProof/>
              </w:rPr>
              <w:t>2.2.3.</w:t>
            </w:r>
            <w:r>
              <w:rPr>
                <w:rFonts w:eastAsiaTheme="minorEastAsia" w:cstheme="minorBidi"/>
                <w:i w:val="0"/>
                <w:iCs w:val="0"/>
                <w:noProof/>
                <w:kern w:val="2"/>
                <w:sz w:val="24"/>
                <w:szCs w:val="24"/>
                <w:lang w:val="en-CO" w:eastAsia="en-US"/>
                <w14:ligatures w14:val="standardContextual"/>
              </w:rPr>
              <w:tab/>
            </w:r>
            <w:r w:rsidRPr="00600453">
              <w:rPr>
                <w:rStyle w:val="Hyperlink"/>
                <w:noProof/>
              </w:rPr>
              <w:t>Traducción automática para Quechua: el caso cercano al Inga</w:t>
            </w:r>
            <w:r>
              <w:rPr>
                <w:noProof/>
                <w:webHidden/>
              </w:rPr>
              <w:tab/>
            </w:r>
            <w:r>
              <w:rPr>
                <w:noProof/>
                <w:webHidden/>
              </w:rPr>
              <w:fldChar w:fldCharType="begin"/>
            </w:r>
            <w:r>
              <w:rPr>
                <w:noProof/>
                <w:webHidden/>
              </w:rPr>
              <w:instrText xml:space="preserve"> PAGEREF _Toc233199069 \h </w:instrText>
            </w:r>
            <w:r>
              <w:rPr>
                <w:noProof/>
                <w:webHidden/>
              </w:rPr>
            </w:r>
            <w:r>
              <w:rPr>
                <w:noProof/>
                <w:webHidden/>
              </w:rPr>
              <w:fldChar w:fldCharType="separate"/>
            </w:r>
            <w:r>
              <w:rPr>
                <w:noProof/>
                <w:webHidden/>
              </w:rPr>
              <w:t>26</w:t>
            </w:r>
            <w:r>
              <w:rPr>
                <w:noProof/>
                <w:webHidden/>
              </w:rPr>
              <w:fldChar w:fldCharType="end"/>
            </w:r>
          </w:hyperlink>
        </w:p>
        <w:p w14:paraId="1E0BBF1F" w14:textId="7851504C"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70" w:history="1">
            <w:r w:rsidRPr="00600453">
              <w:rPr>
                <w:rStyle w:val="Hyperlink"/>
                <w:noProof/>
              </w:rPr>
              <w:t>2.2.4.</w:t>
            </w:r>
            <w:r>
              <w:rPr>
                <w:rFonts w:eastAsiaTheme="minorEastAsia" w:cstheme="minorBidi"/>
                <w:i w:val="0"/>
                <w:iCs w:val="0"/>
                <w:noProof/>
                <w:kern w:val="2"/>
                <w:sz w:val="24"/>
                <w:szCs w:val="24"/>
                <w:lang w:val="en-CO" w:eastAsia="en-US"/>
                <w14:ligatures w14:val="standardContextual"/>
              </w:rPr>
              <w:tab/>
            </w:r>
            <w:r w:rsidRPr="00600453">
              <w:rPr>
                <w:rStyle w:val="Hyperlink"/>
                <w:noProof/>
              </w:rPr>
              <w:t>Modelos de lenguaje de frontera para traducción</w:t>
            </w:r>
            <w:r>
              <w:rPr>
                <w:noProof/>
                <w:webHidden/>
              </w:rPr>
              <w:tab/>
            </w:r>
            <w:r>
              <w:rPr>
                <w:noProof/>
                <w:webHidden/>
              </w:rPr>
              <w:fldChar w:fldCharType="begin"/>
            </w:r>
            <w:r>
              <w:rPr>
                <w:noProof/>
                <w:webHidden/>
              </w:rPr>
              <w:instrText xml:space="preserve"> PAGEREF _Toc233199070 \h </w:instrText>
            </w:r>
            <w:r>
              <w:rPr>
                <w:noProof/>
                <w:webHidden/>
              </w:rPr>
            </w:r>
            <w:r>
              <w:rPr>
                <w:noProof/>
                <w:webHidden/>
              </w:rPr>
              <w:fldChar w:fldCharType="separate"/>
            </w:r>
            <w:r>
              <w:rPr>
                <w:noProof/>
                <w:webHidden/>
              </w:rPr>
              <w:t>27</w:t>
            </w:r>
            <w:r>
              <w:rPr>
                <w:noProof/>
                <w:webHidden/>
              </w:rPr>
              <w:fldChar w:fldCharType="end"/>
            </w:r>
          </w:hyperlink>
        </w:p>
        <w:p w14:paraId="43AFD656" w14:textId="401DB5B2"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71" w:history="1">
            <w:r w:rsidRPr="00600453">
              <w:rPr>
                <w:rStyle w:val="Hyperlink"/>
                <w:noProof/>
              </w:rPr>
              <w:t>2.2.5.</w:t>
            </w:r>
            <w:r>
              <w:rPr>
                <w:rFonts w:eastAsiaTheme="minorEastAsia" w:cstheme="minorBidi"/>
                <w:i w:val="0"/>
                <w:iCs w:val="0"/>
                <w:noProof/>
                <w:kern w:val="2"/>
                <w:sz w:val="24"/>
                <w:szCs w:val="24"/>
                <w:lang w:val="en-CO" w:eastAsia="en-US"/>
                <w14:ligatures w14:val="standardContextual"/>
              </w:rPr>
              <w:tab/>
            </w:r>
            <w:r w:rsidRPr="00600453">
              <w:rPr>
                <w:rStyle w:val="Hyperlink"/>
                <w:noProof/>
              </w:rPr>
              <w:t>Recuperación aumentada aplicada a traducción</w:t>
            </w:r>
            <w:r>
              <w:rPr>
                <w:noProof/>
                <w:webHidden/>
              </w:rPr>
              <w:tab/>
            </w:r>
            <w:r>
              <w:rPr>
                <w:noProof/>
                <w:webHidden/>
              </w:rPr>
              <w:fldChar w:fldCharType="begin"/>
            </w:r>
            <w:r>
              <w:rPr>
                <w:noProof/>
                <w:webHidden/>
              </w:rPr>
              <w:instrText xml:space="preserve"> PAGEREF _Toc233199071 \h </w:instrText>
            </w:r>
            <w:r>
              <w:rPr>
                <w:noProof/>
                <w:webHidden/>
              </w:rPr>
            </w:r>
            <w:r>
              <w:rPr>
                <w:noProof/>
                <w:webHidden/>
              </w:rPr>
              <w:fldChar w:fldCharType="separate"/>
            </w:r>
            <w:r>
              <w:rPr>
                <w:noProof/>
                <w:webHidden/>
              </w:rPr>
              <w:t>28</w:t>
            </w:r>
            <w:r>
              <w:rPr>
                <w:noProof/>
                <w:webHidden/>
              </w:rPr>
              <w:fldChar w:fldCharType="end"/>
            </w:r>
          </w:hyperlink>
        </w:p>
        <w:p w14:paraId="4BBE856C" w14:textId="2465B34B"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72" w:history="1">
            <w:r w:rsidRPr="00600453">
              <w:rPr>
                <w:rStyle w:val="Hyperlink"/>
                <w:noProof/>
              </w:rPr>
              <w:t>2.2.6.</w:t>
            </w:r>
            <w:r>
              <w:rPr>
                <w:rFonts w:eastAsiaTheme="minorEastAsia" w:cstheme="minorBidi"/>
                <w:i w:val="0"/>
                <w:iCs w:val="0"/>
                <w:noProof/>
                <w:kern w:val="2"/>
                <w:sz w:val="24"/>
                <w:szCs w:val="24"/>
                <w:lang w:val="en-CO" w:eastAsia="en-US"/>
                <w14:ligatures w14:val="standardContextual"/>
              </w:rPr>
              <w:tab/>
            </w:r>
            <w:r w:rsidRPr="00600453">
              <w:rPr>
                <w:rStyle w:val="Hyperlink"/>
                <w:noProof/>
              </w:rPr>
              <w:t>Técnicas de ajuste fino eficiente en parámetros</w:t>
            </w:r>
            <w:r>
              <w:rPr>
                <w:noProof/>
                <w:webHidden/>
              </w:rPr>
              <w:tab/>
            </w:r>
            <w:r>
              <w:rPr>
                <w:noProof/>
                <w:webHidden/>
              </w:rPr>
              <w:fldChar w:fldCharType="begin"/>
            </w:r>
            <w:r>
              <w:rPr>
                <w:noProof/>
                <w:webHidden/>
              </w:rPr>
              <w:instrText xml:space="preserve"> PAGEREF _Toc233199072 \h </w:instrText>
            </w:r>
            <w:r>
              <w:rPr>
                <w:noProof/>
                <w:webHidden/>
              </w:rPr>
            </w:r>
            <w:r>
              <w:rPr>
                <w:noProof/>
                <w:webHidden/>
              </w:rPr>
              <w:fldChar w:fldCharType="separate"/>
            </w:r>
            <w:r>
              <w:rPr>
                <w:noProof/>
                <w:webHidden/>
              </w:rPr>
              <w:t>29</w:t>
            </w:r>
            <w:r>
              <w:rPr>
                <w:noProof/>
                <w:webHidden/>
              </w:rPr>
              <w:fldChar w:fldCharType="end"/>
            </w:r>
          </w:hyperlink>
        </w:p>
        <w:p w14:paraId="67115474" w14:textId="36A0A433"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73" w:history="1">
            <w:r w:rsidRPr="00600453">
              <w:rPr>
                <w:rStyle w:val="Hyperlink"/>
                <w:noProof/>
              </w:rPr>
              <w:t>2.2.7.</w:t>
            </w:r>
            <w:r>
              <w:rPr>
                <w:rFonts w:eastAsiaTheme="minorEastAsia" w:cstheme="minorBidi"/>
                <w:i w:val="0"/>
                <w:iCs w:val="0"/>
                <w:noProof/>
                <w:kern w:val="2"/>
                <w:sz w:val="24"/>
                <w:szCs w:val="24"/>
                <w:lang w:val="en-CO" w:eastAsia="en-US"/>
                <w14:ligatures w14:val="standardContextual"/>
              </w:rPr>
              <w:tab/>
            </w:r>
            <w:r w:rsidRPr="00600453">
              <w:rPr>
                <w:rStyle w:val="Hyperlink"/>
                <w:noProof/>
              </w:rPr>
              <w:t>Modelos base candidatos: análisis comparativo</w:t>
            </w:r>
            <w:r>
              <w:rPr>
                <w:noProof/>
                <w:webHidden/>
              </w:rPr>
              <w:tab/>
            </w:r>
            <w:r>
              <w:rPr>
                <w:noProof/>
                <w:webHidden/>
              </w:rPr>
              <w:fldChar w:fldCharType="begin"/>
            </w:r>
            <w:r>
              <w:rPr>
                <w:noProof/>
                <w:webHidden/>
              </w:rPr>
              <w:instrText xml:space="preserve"> PAGEREF _Toc233199073 \h </w:instrText>
            </w:r>
            <w:r>
              <w:rPr>
                <w:noProof/>
                <w:webHidden/>
              </w:rPr>
            </w:r>
            <w:r>
              <w:rPr>
                <w:noProof/>
                <w:webHidden/>
              </w:rPr>
              <w:fldChar w:fldCharType="separate"/>
            </w:r>
            <w:r>
              <w:rPr>
                <w:noProof/>
                <w:webHidden/>
              </w:rPr>
              <w:t>30</w:t>
            </w:r>
            <w:r>
              <w:rPr>
                <w:noProof/>
                <w:webHidden/>
              </w:rPr>
              <w:fldChar w:fldCharType="end"/>
            </w:r>
          </w:hyperlink>
        </w:p>
        <w:p w14:paraId="1EE1C647" w14:textId="531F8CB8"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74" w:history="1">
            <w:r w:rsidRPr="00600453">
              <w:rPr>
                <w:rStyle w:val="Hyperlink"/>
                <w:noProof/>
              </w:rPr>
              <w:t>2.3.</w:t>
            </w:r>
            <w:r>
              <w:rPr>
                <w:rFonts w:eastAsiaTheme="minorEastAsia" w:cstheme="minorBidi"/>
                <w:smallCaps w:val="0"/>
                <w:noProof/>
                <w:kern w:val="2"/>
                <w:sz w:val="24"/>
                <w:szCs w:val="24"/>
                <w:lang w:val="en-CO" w:eastAsia="en-US"/>
                <w14:ligatures w14:val="standardContextual"/>
              </w:rPr>
              <w:tab/>
            </w:r>
            <w:r w:rsidRPr="00600453">
              <w:rPr>
                <w:rStyle w:val="Hyperlink"/>
                <w:noProof/>
              </w:rPr>
              <w:t>Conclusiones del capítulo</w:t>
            </w:r>
            <w:r>
              <w:rPr>
                <w:noProof/>
                <w:webHidden/>
              </w:rPr>
              <w:tab/>
            </w:r>
            <w:r>
              <w:rPr>
                <w:noProof/>
                <w:webHidden/>
              </w:rPr>
              <w:fldChar w:fldCharType="begin"/>
            </w:r>
            <w:r>
              <w:rPr>
                <w:noProof/>
                <w:webHidden/>
              </w:rPr>
              <w:instrText xml:space="preserve"> PAGEREF _Toc233199074 \h </w:instrText>
            </w:r>
            <w:r>
              <w:rPr>
                <w:noProof/>
                <w:webHidden/>
              </w:rPr>
            </w:r>
            <w:r>
              <w:rPr>
                <w:noProof/>
                <w:webHidden/>
              </w:rPr>
              <w:fldChar w:fldCharType="separate"/>
            </w:r>
            <w:r>
              <w:rPr>
                <w:noProof/>
                <w:webHidden/>
              </w:rPr>
              <w:t>32</w:t>
            </w:r>
            <w:r>
              <w:rPr>
                <w:noProof/>
                <w:webHidden/>
              </w:rPr>
              <w:fldChar w:fldCharType="end"/>
            </w:r>
          </w:hyperlink>
        </w:p>
        <w:p w14:paraId="568046FE" w14:textId="7CE7DD42" w:rsidR="005E4874" w:rsidRDefault="005E4874">
          <w:pPr>
            <w:pStyle w:val="TOC1"/>
            <w:tabs>
              <w:tab w:val="left" w:pos="480"/>
              <w:tab w:val="right" w:leader="dot" w:pos="9061"/>
            </w:tabs>
            <w:rPr>
              <w:rFonts w:eastAsiaTheme="minorEastAsia" w:cstheme="minorBidi"/>
              <w:b w:val="0"/>
              <w:bCs w:val="0"/>
              <w:caps w:val="0"/>
              <w:noProof/>
              <w:kern w:val="2"/>
              <w:sz w:val="24"/>
              <w:szCs w:val="24"/>
              <w:lang w:val="en-CO" w:eastAsia="en-US"/>
              <w14:ligatures w14:val="standardContextual"/>
            </w:rPr>
          </w:pPr>
          <w:hyperlink w:anchor="_Toc233199075" w:history="1">
            <w:r w:rsidRPr="00600453">
              <w:rPr>
                <w:rStyle w:val="Hyperlink"/>
                <w:noProof/>
              </w:rPr>
              <w:t>3.</w:t>
            </w:r>
            <w:r>
              <w:rPr>
                <w:rFonts w:eastAsiaTheme="minorEastAsia" w:cstheme="minorBidi"/>
                <w:b w:val="0"/>
                <w:bCs w:val="0"/>
                <w:caps w:val="0"/>
                <w:noProof/>
                <w:kern w:val="2"/>
                <w:sz w:val="24"/>
                <w:szCs w:val="24"/>
                <w:lang w:val="en-CO" w:eastAsia="en-US"/>
                <w14:ligatures w14:val="standardContextual"/>
              </w:rPr>
              <w:tab/>
            </w:r>
            <w:r w:rsidRPr="00600453">
              <w:rPr>
                <w:rStyle w:val="Hyperlink"/>
                <w:noProof/>
              </w:rPr>
              <w:t>Objetivos concretos y metodología de trabajo</w:t>
            </w:r>
            <w:r>
              <w:rPr>
                <w:noProof/>
                <w:webHidden/>
              </w:rPr>
              <w:tab/>
            </w:r>
            <w:r>
              <w:rPr>
                <w:noProof/>
                <w:webHidden/>
              </w:rPr>
              <w:fldChar w:fldCharType="begin"/>
            </w:r>
            <w:r>
              <w:rPr>
                <w:noProof/>
                <w:webHidden/>
              </w:rPr>
              <w:instrText xml:space="preserve"> PAGEREF _Toc233199075 \h </w:instrText>
            </w:r>
            <w:r>
              <w:rPr>
                <w:noProof/>
                <w:webHidden/>
              </w:rPr>
            </w:r>
            <w:r>
              <w:rPr>
                <w:noProof/>
                <w:webHidden/>
              </w:rPr>
              <w:fldChar w:fldCharType="separate"/>
            </w:r>
            <w:r>
              <w:rPr>
                <w:noProof/>
                <w:webHidden/>
              </w:rPr>
              <w:t>34</w:t>
            </w:r>
            <w:r>
              <w:rPr>
                <w:noProof/>
                <w:webHidden/>
              </w:rPr>
              <w:fldChar w:fldCharType="end"/>
            </w:r>
          </w:hyperlink>
        </w:p>
        <w:p w14:paraId="123056C4" w14:textId="79DFA18F"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76" w:history="1">
            <w:r w:rsidRPr="00600453">
              <w:rPr>
                <w:rStyle w:val="Hyperlink"/>
                <w:noProof/>
              </w:rPr>
              <w:t>3.1.</w:t>
            </w:r>
            <w:r>
              <w:rPr>
                <w:rFonts w:eastAsiaTheme="minorEastAsia" w:cstheme="minorBidi"/>
                <w:smallCaps w:val="0"/>
                <w:noProof/>
                <w:kern w:val="2"/>
                <w:sz w:val="24"/>
                <w:szCs w:val="24"/>
                <w:lang w:val="en-CO" w:eastAsia="en-US"/>
                <w14:ligatures w14:val="standardContextual"/>
              </w:rPr>
              <w:tab/>
            </w:r>
            <w:r w:rsidRPr="00600453">
              <w:rPr>
                <w:rStyle w:val="Hyperlink"/>
                <w:noProof/>
              </w:rPr>
              <w:t>Objetivo general</w:t>
            </w:r>
            <w:r>
              <w:rPr>
                <w:noProof/>
                <w:webHidden/>
              </w:rPr>
              <w:tab/>
            </w:r>
            <w:r>
              <w:rPr>
                <w:noProof/>
                <w:webHidden/>
              </w:rPr>
              <w:fldChar w:fldCharType="begin"/>
            </w:r>
            <w:r>
              <w:rPr>
                <w:noProof/>
                <w:webHidden/>
              </w:rPr>
              <w:instrText xml:space="preserve"> PAGEREF _Toc233199076 \h </w:instrText>
            </w:r>
            <w:r>
              <w:rPr>
                <w:noProof/>
                <w:webHidden/>
              </w:rPr>
            </w:r>
            <w:r>
              <w:rPr>
                <w:noProof/>
                <w:webHidden/>
              </w:rPr>
              <w:fldChar w:fldCharType="separate"/>
            </w:r>
            <w:r>
              <w:rPr>
                <w:noProof/>
                <w:webHidden/>
              </w:rPr>
              <w:t>34</w:t>
            </w:r>
            <w:r>
              <w:rPr>
                <w:noProof/>
                <w:webHidden/>
              </w:rPr>
              <w:fldChar w:fldCharType="end"/>
            </w:r>
          </w:hyperlink>
        </w:p>
        <w:p w14:paraId="637D6488" w14:textId="7D8E9B00"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77" w:history="1">
            <w:r w:rsidRPr="00600453">
              <w:rPr>
                <w:rStyle w:val="Hyperlink"/>
                <w:noProof/>
              </w:rPr>
              <w:t>3.2.</w:t>
            </w:r>
            <w:r>
              <w:rPr>
                <w:rFonts w:eastAsiaTheme="minorEastAsia" w:cstheme="minorBidi"/>
                <w:smallCaps w:val="0"/>
                <w:noProof/>
                <w:kern w:val="2"/>
                <w:sz w:val="24"/>
                <w:szCs w:val="24"/>
                <w:lang w:val="en-CO" w:eastAsia="en-US"/>
                <w14:ligatures w14:val="standardContextual"/>
              </w:rPr>
              <w:tab/>
            </w:r>
            <w:r w:rsidRPr="00600453">
              <w:rPr>
                <w:rStyle w:val="Hyperlink"/>
                <w:noProof/>
              </w:rPr>
              <w:t>Objetivos específicos</w:t>
            </w:r>
            <w:r>
              <w:rPr>
                <w:noProof/>
                <w:webHidden/>
              </w:rPr>
              <w:tab/>
            </w:r>
            <w:r>
              <w:rPr>
                <w:noProof/>
                <w:webHidden/>
              </w:rPr>
              <w:fldChar w:fldCharType="begin"/>
            </w:r>
            <w:r>
              <w:rPr>
                <w:noProof/>
                <w:webHidden/>
              </w:rPr>
              <w:instrText xml:space="preserve"> PAGEREF _Toc233199077 \h </w:instrText>
            </w:r>
            <w:r>
              <w:rPr>
                <w:noProof/>
                <w:webHidden/>
              </w:rPr>
            </w:r>
            <w:r>
              <w:rPr>
                <w:noProof/>
                <w:webHidden/>
              </w:rPr>
              <w:fldChar w:fldCharType="separate"/>
            </w:r>
            <w:r>
              <w:rPr>
                <w:noProof/>
                <w:webHidden/>
              </w:rPr>
              <w:t>34</w:t>
            </w:r>
            <w:r>
              <w:rPr>
                <w:noProof/>
                <w:webHidden/>
              </w:rPr>
              <w:fldChar w:fldCharType="end"/>
            </w:r>
          </w:hyperlink>
        </w:p>
        <w:p w14:paraId="5C86B29C" w14:textId="5C4BD10E" w:rsidR="005E4874" w:rsidRDefault="005E4874">
          <w:pPr>
            <w:pStyle w:val="TOC2"/>
            <w:tabs>
              <w:tab w:val="left" w:pos="960"/>
              <w:tab w:val="right" w:leader="dot" w:pos="9061"/>
            </w:tabs>
            <w:rPr>
              <w:rFonts w:eastAsiaTheme="minorEastAsia" w:cstheme="minorBidi"/>
              <w:smallCaps w:val="0"/>
              <w:noProof/>
              <w:kern w:val="2"/>
              <w:sz w:val="24"/>
              <w:szCs w:val="24"/>
              <w:lang w:val="en-CO" w:eastAsia="en-US"/>
              <w14:ligatures w14:val="standardContextual"/>
            </w:rPr>
          </w:pPr>
          <w:hyperlink w:anchor="_Toc233199078" w:history="1">
            <w:r w:rsidRPr="00600453">
              <w:rPr>
                <w:rStyle w:val="Hyperlink"/>
                <w:noProof/>
              </w:rPr>
              <w:t>3.3.</w:t>
            </w:r>
            <w:r>
              <w:rPr>
                <w:rFonts w:eastAsiaTheme="minorEastAsia" w:cstheme="minorBidi"/>
                <w:smallCaps w:val="0"/>
                <w:noProof/>
                <w:kern w:val="2"/>
                <w:sz w:val="24"/>
                <w:szCs w:val="24"/>
                <w:lang w:val="en-CO" w:eastAsia="en-US"/>
                <w14:ligatures w14:val="standardContextual"/>
              </w:rPr>
              <w:tab/>
            </w:r>
            <w:r w:rsidRPr="00600453">
              <w:rPr>
                <w:rStyle w:val="Hyperlink"/>
                <w:noProof/>
              </w:rPr>
              <w:t>Metodología del trabajo</w:t>
            </w:r>
            <w:r>
              <w:rPr>
                <w:noProof/>
                <w:webHidden/>
              </w:rPr>
              <w:tab/>
            </w:r>
            <w:r>
              <w:rPr>
                <w:noProof/>
                <w:webHidden/>
              </w:rPr>
              <w:fldChar w:fldCharType="begin"/>
            </w:r>
            <w:r>
              <w:rPr>
                <w:noProof/>
                <w:webHidden/>
              </w:rPr>
              <w:instrText xml:space="preserve"> PAGEREF _Toc233199078 \h </w:instrText>
            </w:r>
            <w:r>
              <w:rPr>
                <w:noProof/>
                <w:webHidden/>
              </w:rPr>
            </w:r>
            <w:r>
              <w:rPr>
                <w:noProof/>
                <w:webHidden/>
              </w:rPr>
              <w:fldChar w:fldCharType="separate"/>
            </w:r>
            <w:r>
              <w:rPr>
                <w:noProof/>
                <w:webHidden/>
              </w:rPr>
              <w:t>36</w:t>
            </w:r>
            <w:r>
              <w:rPr>
                <w:noProof/>
                <w:webHidden/>
              </w:rPr>
              <w:fldChar w:fldCharType="end"/>
            </w:r>
          </w:hyperlink>
        </w:p>
        <w:p w14:paraId="367EF885" w14:textId="0C07431A"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79" w:history="1">
            <w:r w:rsidRPr="00600453">
              <w:rPr>
                <w:rStyle w:val="Hyperlink"/>
                <w:noProof/>
              </w:rPr>
              <w:t>3.3.1.</w:t>
            </w:r>
            <w:r>
              <w:rPr>
                <w:rFonts w:eastAsiaTheme="minorEastAsia" w:cstheme="minorBidi"/>
                <w:i w:val="0"/>
                <w:iCs w:val="0"/>
                <w:noProof/>
                <w:kern w:val="2"/>
                <w:sz w:val="24"/>
                <w:szCs w:val="24"/>
                <w:lang w:val="en-CO" w:eastAsia="en-US"/>
                <w14:ligatures w14:val="standardContextual"/>
              </w:rPr>
              <w:tab/>
            </w:r>
            <w:r w:rsidRPr="00600453">
              <w:rPr>
                <w:rStyle w:val="Hyperlink"/>
                <w:noProof/>
              </w:rPr>
              <w:t>Enfoque metodológico</w:t>
            </w:r>
            <w:r>
              <w:rPr>
                <w:noProof/>
                <w:webHidden/>
              </w:rPr>
              <w:tab/>
            </w:r>
            <w:r>
              <w:rPr>
                <w:noProof/>
                <w:webHidden/>
              </w:rPr>
              <w:fldChar w:fldCharType="begin"/>
            </w:r>
            <w:r>
              <w:rPr>
                <w:noProof/>
                <w:webHidden/>
              </w:rPr>
              <w:instrText xml:space="preserve"> PAGEREF _Toc233199079 \h </w:instrText>
            </w:r>
            <w:r>
              <w:rPr>
                <w:noProof/>
                <w:webHidden/>
              </w:rPr>
            </w:r>
            <w:r>
              <w:rPr>
                <w:noProof/>
                <w:webHidden/>
              </w:rPr>
              <w:fldChar w:fldCharType="separate"/>
            </w:r>
            <w:r>
              <w:rPr>
                <w:noProof/>
                <w:webHidden/>
              </w:rPr>
              <w:t>36</w:t>
            </w:r>
            <w:r>
              <w:rPr>
                <w:noProof/>
                <w:webHidden/>
              </w:rPr>
              <w:fldChar w:fldCharType="end"/>
            </w:r>
          </w:hyperlink>
        </w:p>
        <w:p w14:paraId="4010C4BB" w14:textId="344AC761"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80" w:history="1">
            <w:r w:rsidRPr="00600453">
              <w:rPr>
                <w:rStyle w:val="Hyperlink"/>
                <w:rFonts w:ascii="Calibri Light" w:eastAsia="Calibri Light" w:hAnsi="Calibri Light" w:cs="Calibri Light"/>
                <w:noProof/>
              </w:rPr>
              <w:t>3.3.2 Fases del proyecto</w:t>
            </w:r>
            <w:r>
              <w:rPr>
                <w:noProof/>
                <w:webHidden/>
              </w:rPr>
              <w:tab/>
            </w:r>
            <w:r>
              <w:rPr>
                <w:noProof/>
                <w:webHidden/>
              </w:rPr>
              <w:fldChar w:fldCharType="begin"/>
            </w:r>
            <w:r>
              <w:rPr>
                <w:noProof/>
                <w:webHidden/>
              </w:rPr>
              <w:instrText xml:space="preserve"> PAGEREF _Toc233199080 \h </w:instrText>
            </w:r>
            <w:r>
              <w:rPr>
                <w:noProof/>
                <w:webHidden/>
              </w:rPr>
            </w:r>
            <w:r>
              <w:rPr>
                <w:noProof/>
                <w:webHidden/>
              </w:rPr>
              <w:fldChar w:fldCharType="separate"/>
            </w:r>
            <w:r>
              <w:rPr>
                <w:noProof/>
                <w:webHidden/>
              </w:rPr>
              <w:t>36</w:t>
            </w:r>
            <w:r>
              <w:rPr>
                <w:noProof/>
                <w:webHidden/>
              </w:rPr>
              <w:fldChar w:fldCharType="end"/>
            </w:r>
          </w:hyperlink>
        </w:p>
        <w:p w14:paraId="5E581F89" w14:textId="3EACC597"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81" w:history="1">
            <w:r w:rsidRPr="00600453">
              <w:rPr>
                <w:rStyle w:val="Hyperlink"/>
                <w:noProof/>
              </w:rPr>
              <w:t>3.3.2.</w:t>
            </w:r>
            <w:r>
              <w:rPr>
                <w:rFonts w:eastAsiaTheme="minorEastAsia" w:cstheme="minorBidi"/>
                <w:i w:val="0"/>
                <w:iCs w:val="0"/>
                <w:noProof/>
                <w:kern w:val="2"/>
                <w:sz w:val="24"/>
                <w:szCs w:val="24"/>
                <w:lang w:val="en-CO" w:eastAsia="en-US"/>
                <w14:ligatures w14:val="standardContextual"/>
              </w:rPr>
              <w:tab/>
            </w:r>
            <w:r w:rsidRPr="00600453">
              <w:rPr>
                <w:rStyle w:val="Hyperlink"/>
                <w:noProof/>
              </w:rPr>
              <w:t>Cronograma</w:t>
            </w:r>
            <w:r>
              <w:rPr>
                <w:noProof/>
                <w:webHidden/>
              </w:rPr>
              <w:tab/>
            </w:r>
            <w:r>
              <w:rPr>
                <w:noProof/>
                <w:webHidden/>
              </w:rPr>
              <w:fldChar w:fldCharType="begin"/>
            </w:r>
            <w:r>
              <w:rPr>
                <w:noProof/>
                <w:webHidden/>
              </w:rPr>
              <w:instrText xml:space="preserve"> PAGEREF _Toc233199081 \h </w:instrText>
            </w:r>
            <w:r>
              <w:rPr>
                <w:noProof/>
                <w:webHidden/>
              </w:rPr>
            </w:r>
            <w:r>
              <w:rPr>
                <w:noProof/>
                <w:webHidden/>
              </w:rPr>
              <w:fldChar w:fldCharType="separate"/>
            </w:r>
            <w:r>
              <w:rPr>
                <w:noProof/>
                <w:webHidden/>
              </w:rPr>
              <w:t>38</w:t>
            </w:r>
            <w:r>
              <w:rPr>
                <w:noProof/>
                <w:webHidden/>
              </w:rPr>
              <w:fldChar w:fldCharType="end"/>
            </w:r>
          </w:hyperlink>
        </w:p>
        <w:p w14:paraId="75BEB04B" w14:textId="761101EF"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82" w:history="1">
            <w:r w:rsidRPr="00600453">
              <w:rPr>
                <w:rStyle w:val="Hyperlink"/>
                <w:noProof/>
              </w:rPr>
              <w:t>3.3.3.</w:t>
            </w:r>
            <w:r>
              <w:rPr>
                <w:rFonts w:eastAsiaTheme="minorEastAsia" w:cstheme="minorBidi"/>
                <w:i w:val="0"/>
                <w:iCs w:val="0"/>
                <w:noProof/>
                <w:kern w:val="2"/>
                <w:sz w:val="24"/>
                <w:szCs w:val="24"/>
                <w:lang w:val="en-CO" w:eastAsia="en-US"/>
                <w14:ligatures w14:val="standardContextual"/>
              </w:rPr>
              <w:tab/>
            </w:r>
            <w:r w:rsidRPr="00600453">
              <w:rPr>
                <w:rStyle w:val="Hyperlink"/>
                <w:noProof/>
              </w:rPr>
              <w:t>Infraestructura de cómputo</w:t>
            </w:r>
            <w:r>
              <w:rPr>
                <w:noProof/>
                <w:webHidden/>
              </w:rPr>
              <w:tab/>
            </w:r>
            <w:r>
              <w:rPr>
                <w:noProof/>
                <w:webHidden/>
              </w:rPr>
              <w:fldChar w:fldCharType="begin"/>
            </w:r>
            <w:r>
              <w:rPr>
                <w:noProof/>
                <w:webHidden/>
              </w:rPr>
              <w:instrText xml:space="preserve"> PAGEREF _Toc233199082 \h </w:instrText>
            </w:r>
            <w:r>
              <w:rPr>
                <w:noProof/>
                <w:webHidden/>
              </w:rPr>
            </w:r>
            <w:r>
              <w:rPr>
                <w:noProof/>
                <w:webHidden/>
              </w:rPr>
              <w:fldChar w:fldCharType="separate"/>
            </w:r>
            <w:r>
              <w:rPr>
                <w:noProof/>
                <w:webHidden/>
              </w:rPr>
              <w:t>39</w:t>
            </w:r>
            <w:r>
              <w:rPr>
                <w:noProof/>
                <w:webHidden/>
              </w:rPr>
              <w:fldChar w:fldCharType="end"/>
            </w:r>
          </w:hyperlink>
        </w:p>
        <w:p w14:paraId="2F7E322C" w14:textId="3762DCB2" w:rsidR="005E4874" w:rsidRDefault="005E4874">
          <w:pPr>
            <w:pStyle w:val="TOC3"/>
            <w:tabs>
              <w:tab w:val="left" w:pos="1440"/>
              <w:tab w:val="right" w:leader="dot" w:pos="9061"/>
            </w:tabs>
            <w:rPr>
              <w:rFonts w:eastAsiaTheme="minorEastAsia" w:cstheme="minorBidi"/>
              <w:i w:val="0"/>
              <w:iCs w:val="0"/>
              <w:noProof/>
              <w:kern w:val="2"/>
              <w:sz w:val="24"/>
              <w:szCs w:val="24"/>
              <w:lang w:val="en-CO" w:eastAsia="en-US"/>
              <w14:ligatures w14:val="standardContextual"/>
            </w:rPr>
          </w:pPr>
          <w:hyperlink w:anchor="_Toc233199083" w:history="1">
            <w:r w:rsidRPr="00600453">
              <w:rPr>
                <w:rStyle w:val="Hyperlink"/>
                <w:noProof/>
              </w:rPr>
              <w:t>3.3.4.</w:t>
            </w:r>
            <w:r>
              <w:rPr>
                <w:rFonts w:eastAsiaTheme="minorEastAsia" w:cstheme="minorBidi"/>
                <w:i w:val="0"/>
                <w:iCs w:val="0"/>
                <w:noProof/>
                <w:kern w:val="2"/>
                <w:sz w:val="24"/>
                <w:szCs w:val="24"/>
                <w:lang w:val="en-CO" w:eastAsia="en-US"/>
                <w14:ligatures w14:val="standardContextual"/>
              </w:rPr>
              <w:tab/>
            </w:r>
            <w:r w:rsidRPr="00600453">
              <w:rPr>
                <w:rStyle w:val="Hyperlink"/>
                <w:noProof/>
              </w:rPr>
              <w:t>Configuraciones experimentales a evaluar</w:t>
            </w:r>
            <w:r>
              <w:rPr>
                <w:noProof/>
                <w:webHidden/>
              </w:rPr>
              <w:tab/>
            </w:r>
            <w:r>
              <w:rPr>
                <w:noProof/>
                <w:webHidden/>
              </w:rPr>
              <w:fldChar w:fldCharType="begin"/>
            </w:r>
            <w:r>
              <w:rPr>
                <w:noProof/>
                <w:webHidden/>
              </w:rPr>
              <w:instrText xml:space="preserve"> PAGEREF _Toc233199083 \h </w:instrText>
            </w:r>
            <w:r>
              <w:rPr>
                <w:noProof/>
                <w:webHidden/>
              </w:rPr>
            </w:r>
            <w:r>
              <w:rPr>
                <w:noProof/>
                <w:webHidden/>
              </w:rPr>
              <w:fldChar w:fldCharType="separate"/>
            </w:r>
            <w:r>
              <w:rPr>
                <w:noProof/>
                <w:webHidden/>
              </w:rPr>
              <w:t>40</w:t>
            </w:r>
            <w:r>
              <w:rPr>
                <w:noProof/>
                <w:webHidden/>
              </w:rPr>
              <w:fldChar w:fldCharType="end"/>
            </w:r>
          </w:hyperlink>
        </w:p>
        <w:p w14:paraId="17577E4E" w14:textId="712E8A45"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84" w:history="1">
            <w:r w:rsidRPr="00600453">
              <w:rPr>
                <w:rStyle w:val="Hyperlink"/>
                <w:rFonts w:ascii="Calibri Light" w:eastAsia="Calibri Light" w:hAnsi="Calibri Light" w:cs="Calibri Light"/>
                <w:caps/>
                <w:noProof/>
              </w:rPr>
              <w:t>4. Desarrollo específico de la contribución</w:t>
            </w:r>
            <w:r>
              <w:rPr>
                <w:noProof/>
                <w:webHidden/>
              </w:rPr>
              <w:tab/>
            </w:r>
            <w:r>
              <w:rPr>
                <w:noProof/>
                <w:webHidden/>
              </w:rPr>
              <w:fldChar w:fldCharType="begin"/>
            </w:r>
            <w:r>
              <w:rPr>
                <w:noProof/>
                <w:webHidden/>
              </w:rPr>
              <w:instrText xml:space="preserve"> PAGEREF _Toc233199084 \h </w:instrText>
            </w:r>
            <w:r>
              <w:rPr>
                <w:noProof/>
                <w:webHidden/>
              </w:rPr>
            </w:r>
            <w:r>
              <w:rPr>
                <w:noProof/>
                <w:webHidden/>
              </w:rPr>
              <w:fldChar w:fldCharType="separate"/>
            </w:r>
            <w:r>
              <w:rPr>
                <w:noProof/>
                <w:webHidden/>
              </w:rPr>
              <w:t>41</w:t>
            </w:r>
            <w:r>
              <w:rPr>
                <w:noProof/>
                <w:webHidden/>
              </w:rPr>
              <w:fldChar w:fldCharType="end"/>
            </w:r>
          </w:hyperlink>
        </w:p>
        <w:p w14:paraId="12953248" w14:textId="1541E7C6"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085" w:history="1">
            <w:r w:rsidRPr="00600453">
              <w:rPr>
                <w:rStyle w:val="Hyperlink"/>
                <w:rFonts w:ascii="Calibri Light" w:eastAsia="Calibri Light" w:hAnsi="Calibri Light" w:cs="Calibri Light"/>
                <w:noProof/>
              </w:rPr>
              <w:t>4.1 Configuración del entorno computacional</w:t>
            </w:r>
            <w:r>
              <w:rPr>
                <w:noProof/>
                <w:webHidden/>
              </w:rPr>
              <w:tab/>
            </w:r>
            <w:r>
              <w:rPr>
                <w:noProof/>
                <w:webHidden/>
              </w:rPr>
              <w:fldChar w:fldCharType="begin"/>
            </w:r>
            <w:r>
              <w:rPr>
                <w:noProof/>
                <w:webHidden/>
              </w:rPr>
              <w:instrText xml:space="preserve"> PAGEREF _Toc233199085 \h </w:instrText>
            </w:r>
            <w:r>
              <w:rPr>
                <w:noProof/>
                <w:webHidden/>
              </w:rPr>
            </w:r>
            <w:r>
              <w:rPr>
                <w:noProof/>
                <w:webHidden/>
              </w:rPr>
              <w:fldChar w:fldCharType="separate"/>
            </w:r>
            <w:r>
              <w:rPr>
                <w:noProof/>
                <w:webHidden/>
              </w:rPr>
              <w:t>41</w:t>
            </w:r>
            <w:r>
              <w:rPr>
                <w:noProof/>
                <w:webHidden/>
              </w:rPr>
              <w:fldChar w:fldCharType="end"/>
            </w:r>
          </w:hyperlink>
        </w:p>
        <w:p w14:paraId="00B6B3A0" w14:textId="7451B00C"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086" w:history="1">
            <w:r w:rsidRPr="00600453">
              <w:rPr>
                <w:rStyle w:val="Hyperlink"/>
                <w:rFonts w:ascii="Calibri Light" w:eastAsia="Calibri Light" w:hAnsi="Calibri Light" w:cs="Calibri Light"/>
                <w:noProof/>
              </w:rPr>
              <w:t>4.2 Construcción del corpus paralelo</w:t>
            </w:r>
            <w:r>
              <w:rPr>
                <w:noProof/>
                <w:webHidden/>
              </w:rPr>
              <w:tab/>
            </w:r>
            <w:r>
              <w:rPr>
                <w:noProof/>
                <w:webHidden/>
              </w:rPr>
              <w:fldChar w:fldCharType="begin"/>
            </w:r>
            <w:r>
              <w:rPr>
                <w:noProof/>
                <w:webHidden/>
              </w:rPr>
              <w:instrText xml:space="preserve"> PAGEREF _Toc233199086 \h </w:instrText>
            </w:r>
            <w:r>
              <w:rPr>
                <w:noProof/>
                <w:webHidden/>
              </w:rPr>
            </w:r>
            <w:r>
              <w:rPr>
                <w:noProof/>
                <w:webHidden/>
              </w:rPr>
              <w:fldChar w:fldCharType="separate"/>
            </w:r>
            <w:r>
              <w:rPr>
                <w:noProof/>
                <w:webHidden/>
              </w:rPr>
              <w:t>41</w:t>
            </w:r>
            <w:r>
              <w:rPr>
                <w:noProof/>
                <w:webHidden/>
              </w:rPr>
              <w:fldChar w:fldCharType="end"/>
            </w:r>
          </w:hyperlink>
        </w:p>
        <w:p w14:paraId="7C15AED4" w14:textId="11CCF54B"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87" w:history="1">
            <w:r w:rsidRPr="00600453">
              <w:rPr>
                <w:rStyle w:val="Hyperlink"/>
                <w:rFonts w:ascii="Calibri Light" w:eastAsia="Calibri Light" w:hAnsi="Calibri Light" w:cs="Calibri Light"/>
                <w:noProof/>
              </w:rPr>
              <w:t>4.2.1 Reextracción estructurada del Nuevo Testamento en Inga</w:t>
            </w:r>
            <w:r>
              <w:rPr>
                <w:noProof/>
                <w:webHidden/>
              </w:rPr>
              <w:tab/>
            </w:r>
            <w:r>
              <w:rPr>
                <w:noProof/>
                <w:webHidden/>
              </w:rPr>
              <w:fldChar w:fldCharType="begin"/>
            </w:r>
            <w:r>
              <w:rPr>
                <w:noProof/>
                <w:webHidden/>
              </w:rPr>
              <w:instrText xml:space="preserve"> PAGEREF _Toc233199087 \h </w:instrText>
            </w:r>
            <w:r>
              <w:rPr>
                <w:noProof/>
                <w:webHidden/>
              </w:rPr>
            </w:r>
            <w:r>
              <w:rPr>
                <w:noProof/>
                <w:webHidden/>
              </w:rPr>
              <w:fldChar w:fldCharType="separate"/>
            </w:r>
            <w:r>
              <w:rPr>
                <w:noProof/>
                <w:webHidden/>
              </w:rPr>
              <w:t>44</w:t>
            </w:r>
            <w:r>
              <w:rPr>
                <w:noProof/>
                <w:webHidden/>
              </w:rPr>
              <w:fldChar w:fldCharType="end"/>
            </w:r>
          </w:hyperlink>
        </w:p>
        <w:p w14:paraId="66E0F393" w14:textId="1819C2EE"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88" w:history="1">
            <w:r w:rsidRPr="00600453">
              <w:rPr>
                <w:rStyle w:val="Hyperlink"/>
                <w:rFonts w:ascii="Calibri Light" w:eastAsia="Calibri Light" w:hAnsi="Calibri Light" w:cs="Calibri Light"/>
                <w:noProof/>
              </w:rPr>
              <w:t>4.2.2 Extracción del Nuevo Testamento en español</w:t>
            </w:r>
            <w:r>
              <w:rPr>
                <w:noProof/>
                <w:webHidden/>
              </w:rPr>
              <w:tab/>
            </w:r>
            <w:r>
              <w:rPr>
                <w:noProof/>
                <w:webHidden/>
              </w:rPr>
              <w:fldChar w:fldCharType="begin"/>
            </w:r>
            <w:r>
              <w:rPr>
                <w:noProof/>
                <w:webHidden/>
              </w:rPr>
              <w:instrText xml:space="preserve"> PAGEREF _Toc233199088 \h </w:instrText>
            </w:r>
            <w:r>
              <w:rPr>
                <w:noProof/>
                <w:webHidden/>
              </w:rPr>
            </w:r>
            <w:r>
              <w:rPr>
                <w:noProof/>
                <w:webHidden/>
              </w:rPr>
              <w:fldChar w:fldCharType="separate"/>
            </w:r>
            <w:r>
              <w:rPr>
                <w:noProof/>
                <w:webHidden/>
              </w:rPr>
              <w:t>45</w:t>
            </w:r>
            <w:r>
              <w:rPr>
                <w:noProof/>
                <w:webHidden/>
              </w:rPr>
              <w:fldChar w:fldCharType="end"/>
            </w:r>
          </w:hyperlink>
        </w:p>
        <w:p w14:paraId="5EED3DAB" w14:textId="5B623D0F"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89" w:history="1">
            <w:r w:rsidRPr="00600453">
              <w:rPr>
                <w:rStyle w:val="Hyperlink"/>
                <w:rFonts w:ascii="Calibri Light" w:eastAsia="Calibri Light" w:hAnsi="Calibri Light" w:cs="Calibri Light"/>
                <w:noProof/>
              </w:rPr>
              <w:t>4.2.3 Alineación canónica versículo a versículo</w:t>
            </w:r>
            <w:r>
              <w:rPr>
                <w:noProof/>
                <w:webHidden/>
              </w:rPr>
              <w:tab/>
            </w:r>
            <w:r>
              <w:rPr>
                <w:noProof/>
                <w:webHidden/>
              </w:rPr>
              <w:fldChar w:fldCharType="begin"/>
            </w:r>
            <w:r>
              <w:rPr>
                <w:noProof/>
                <w:webHidden/>
              </w:rPr>
              <w:instrText xml:space="preserve"> PAGEREF _Toc233199089 \h </w:instrText>
            </w:r>
            <w:r>
              <w:rPr>
                <w:noProof/>
                <w:webHidden/>
              </w:rPr>
            </w:r>
            <w:r>
              <w:rPr>
                <w:noProof/>
                <w:webHidden/>
              </w:rPr>
              <w:fldChar w:fldCharType="separate"/>
            </w:r>
            <w:r>
              <w:rPr>
                <w:noProof/>
                <w:webHidden/>
              </w:rPr>
              <w:t>46</w:t>
            </w:r>
            <w:r>
              <w:rPr>
                <w:noProof/>
                <w:webHidden/>
              </w:rPr>
              <w:fldChar w:fldCharType="end"/>
            </w:r>
          </w:hyperlink>
        </w:p>
        <w:p w14:paraId="4E63BF35" w14:textId="7BD5F01D"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90" w:history="1">
            <w:r w:rsidRPr="00600453">
              <w:rPr>
                <w:rStyle w:val="Hyperlink"/>
                <w:rFonts w:ascii="Calibri Light" w:eastAsia="Calibri Light" w:hAnsi="Calibri Light" w:cs="Calibri Light"/>
                <w:noProof/>
              </w:rPr>
              <w:t>4.2.4 Antihua Pacay como recurso exploratorio</w:t>
            </w:r>
            <w:r>
              <w:rPr>
                <w:noProof/>
                <w:webHidden/>
              </w:rPr>
              <w:tab/>
            </w:r>
            <w:r>
              <w:rPr>
                <w:noProof/>
                <w:webHidden/>
              </w:rPr>
              <w:fldChar w:fldCharType="begin"/>
            </w:r>
            <w:r>
              <w:rPr>
                <w:noProof/>
                <w:webHidden/>
              </w:rPr>
              <w:instrText xml:space="preserve"> PAGEREF _Toc233199090 \h </w:instrText>
            </w:r>
            <w:r>
              <w:rPr>
                <w:noProof/>
                <w:webHidden/>
              </w:rPr>
            </w:r>
            <w:r>
              <w:rPr>
                <w:noProof/>
                <w:webHidden/>
              </w:rPr>
              <w:fldChar w:fldCharType="separate"/>
            </w:r>
            <w:r>
              <w:rPr>
                <w:noProof/>
                <w:webHidden/>
              </w:rPr>
              <w:t>46</w:t>
            </w:r>
            <w:r>
              <w:rPr>
                <w:noProof/>
                <w:webHidden/>
              </w:rPr>
              <w:fldChar w:fldCharType="end"/>
            </w:r>
          </w:hyperlink>
        </w:p>
        <w:p w14:paraId="63AB3848" w14:textId="41398633"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91" w:history="1">
            <w:r w:rsidRPr="00600453">
              <w:rPr>
                <w:rStyle w:val="Hyperlink"/>
                <w:rFonts w:ascii="Calibri Light" w:eastAsia="Calibri Light" w:hAnsi="Calibri Light" w:cs="Calibri Light"/>
                <w:noProof/>
              </w:rPr>
              <w:t>4.2.5 Particiones del corpus</w:t>
            </w:r>
            <w:r>
              <w:rPr>
                <w:noProof/>
                <w:webHidden/>
              </w:rPr>
              <w:tab/>
            </w:r>
            <w:r>
              <w:rPr>
                <w:noProof/>
                <w:webHidden/>
              </w:rPr>
              <w:fldChar w:fldCharType="begin"/>
            </w:r>
            <w:r>
              <w:rPr>
                <w:noProof/>
                <w:webHidden/>
              </w:rPr>
              <w:instrText xml:space="preserve"> PAGEREF _Toc233199091 \h </w:instrText>
            </w:r>
            <w:r>
              <w:rPr>
                <w:noProof/>
                <w:webHidden/>
              </w:rPr>
            </w:r>
            <w:r>
              <w:rPr>
                <w:noProof/>
                <w:webHidden/>
              </w:rPr>
              <w:fldChar w:fldCharType="separate"/>
            </w:r>
            <w:r>
              <w:rPr>
                <w:noProof/>
                <w:webHidden/>
              </w:rPr>
              <w:t>46</w:t>
            </w:r>
            <w:r>
              <w:rPr>
                <w:noProof/>
                <w:webHidden/>
              </w:rPr>
              <w:fldChar w:fldCharType="end"/>
            </w:r>
          </w:hyperlink>
        </w:p>
        <w:p w14:paraId="3A9B0ECE" w14:textId="246D02EB"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92" w:history="1">
            <w:r w:rsidRPr="00600453">
              <w:rPr>
                <w:rStyle w:val="Hyperlink"/>
                <w:rFonts w:ascii="Calibri Light" w:eastAsia="Calibri Light" w:hAnsi="Calibri Light" w:cs="Calibri Light"/>
                <w:noProof/>
              </w:rPr>
              <w:t>4.2.6 Material descartado y sus razones</w:t>
            </w:r>
            <w:r>
              <w:rPr>
                <w:noProof/>
                <w:webHidden/>
              </w:rPr>
              <w:tab/>
            </w:r>
            <w:r>
              <w:rPr>
                <w:noProof/>
                <w:webHidden/>
              </w:rPr>
              <w:fldChar w:fldCharType="begin"/>
            </w:r>
            <w:r>
              <w:rPr>
                <w:noProof/>
                <w:webHidden/>
              </w:rPr>
              <w:instrText xml:space="preserve"> PAGEREF _Toc233199092 \h </w:instrText>
            </w:r>
            <w:r>
              <w:rPr>
                <w:noProof/>
                <w:webHidden/>
              </w:rPr>
            </w:r>
            <w:r>
              <w:rPr>
                <w:noProof/>
                <w:webHidden/>
              </w:rPr>
              <w:fldChar w:fldCharType="separate"/>
            </w:r>
            <w:r>
              <w:rPr>
                <w:noProof/>
                <w:webHidden/>
              </w:rPr>
              <w:t>48</w:t>
            </w:r>
            <w:r>
              <w:rPr>
                <w:noProof/>
                <w:webHidden/>
              </w:rPr>
              <w:fldChar w:fldCharType="end"/>
            </w:r>
          </w:hyperlink>
        </w:p>
        <w:p w14:paraId="6993B6D8" w14:textId="2BBDBADB"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093" w:history="1">
            <w:r w:rsidRPr="00600453">
              <w:rPr>
                <w:rStyle w:val="Hyperlink"/>
                <w:rFonts w:ascii="Calibri Light" w:eastAsia="Calibri Light" w:hAnsi="Calibri Light" w:cs="Calibri Light"/>
                <w:noProof/>
              </w:rPr>
              <w:t>4.3 Base de conocimiento e indexación vectorial</w:t>
            </w:r>
            <w:r>
              <w:rPr>
                <w:noProof/>
                <w:webHidden/>
              </w:rPr>
              <w:tab/>
            </w:r>
            <w:r>
              <w:rPr>
                <w:noProof/>
                <w:webHidden/>
              </w:rPr>
              <w:fldChar w:fldCharType="begin"/>
            </w:r>
            <w:r>
              <w:rPr>
                <w:noProof/>
                <w:webHidden/>
              </w:rPr>
              <w:instrText xml:space="preserve"> PAGEREF _Toc233199093 \h </w:instrText>
            </w:r>
            <w:r>
              <w:rPr>
                <w:noProof/>
                <w:webHidden/>
              </w:rPr>
            </w:r>
            <w:r>
              <w:rPr>
                <w:noProof/>
                <w:webHidden/>
              </w:rPr>
              <w:fldChar w:fldCharType="separate"/>
            </w:r>
            <w:r>
              <w:rPr>
                <w:noProof/>
                <w:webHidden/>
              </w:rPr>
              <w:t>49</w:t>
            </w:r>
            <w:r>
              <w:rPr>
                <w:noProof/>
                <w:webHidden/>
              </w:rPr>
              <w:fldChar w:fldCharType="end"/>
            </w:r>
          </w:hyperlink>
        </w:p>
        <w:p w14:paraId="62DA7DA5" w14:textId="724FE45F"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094" w:history="1">
            <w:r w:rsidRPr="00600453">
              <w:rPr>
                <w:rStyle w:val="Hyperlink"/>
                <w:rFonts w:ascii="Calibri Light" w:eastAsia="Calibri Light" w:hAnsi="Calibri Light" w:cs="Calibri Light"/>
                <w:noProof/>
              </w:rPr>
              <w:t>4.4 Adaptación de NLLB-200 mediante LoRA bidireccional</w:t>
            </w:r>
            <w:r>
              <w:rPr>
                <w:noProof/>
                <w:webHidden/>
              </w:rPr>
              <w:tab/>
            </w:r>
            <w:r>
              <w:rPr>
                <w:noProof/>
                <w:webHidden/>
              </w:rPr>
              <w:fldChar w:fldCharType="begin"/>
            </w:r>
            <w:r>
              <w:rPr>
                <w:noProof/>
                <w:webHidden/>
              </w:rPr>
              <w:instrText xml:space="preserve"> PAGEREF _Toc233199094 \h </w:instrText>
            </w:r>
            <w:r>
              <w:rPr>
                <w:noProof/>
                <w:webHidden/>
              </w:rPr>
            </w:r>
            <w:r>
              <w:rPr>
                <w:noProof/>
                <w:webHidden/>
              </w:rPr>
              <w:fldChar w:fldCharType="separate"/>
            </w:r>
            <w:r>
              <w:rPr>
                <w:noProof/>
                <w:webHidden/>
              </w:rPr>
              <w:t>51</w:t>
            </w:r>
            <w:r>
              <w:rPr>
                <w:noProof/>
                <w:webHidden/>
              </w:rPr>
              <w:fldChar w:fldCharType="end"/>
            </w:r>
          </w:hyperlink>
        </w:p>
        <w:p w14:paraId="73130279" w14:textId="54488D94"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095" w:history="1">
            <w:r w:rsidRPr="00600453">
              <w:rPr>
                <w:rStyle w:val="Hyperlink"/>
                <w:rFonts w:ascii="Calibri Light" w:eastAsia="Calibri Light" w:hAnsi="Calibri Light" w:cs="Calibri Light"/>
                <w:noProof/>
              </w:rPr>
              <w:t>4.5 Pipeline LLM + RAG con Claude</w:t>
            </w:r>
            <w:r>
              <w:rPr>
                <w:noProof/>
                <w:webHidden/>
              </w:rPr>
              <w:tab/>
            </w:r>
            <w:r>
              <w:rPr>
                <w:noProof/>
                <w:webHidden/>
              </w:rPr>
              <w:fldChar w:fldCharType="begin"/>
            </w:r>
            <w:r>
              <w:rPr>
                <w:noProof/>
                <w:webHidden/>
              </w:rPr>
              <w:instrText xml:space="preserve"> PAGEREF _Toc233199095 \h </w:instrText>
            </w:r>
            <w:r>
              <w:rPr>
                <w:noProof/>
                <w:webHidden/>
              </w:rPr>
            </w:r>
            <w:r>
              <w:rPr>
                <w:noProof/>
                <w:webHidden/>
              </w:rPr>
              <w:fldChar w:fldCharType="separate"/>
            </w:r>
            <w:r>
              <w:rPr>
                <w:noProof/>
                <w:webHidden/>
              </w:rPr>
              <w:t>54</w:t>
            </w:r>
            <w:r>
              <w:rPr>
                <w:noProof/>
                <w:webHidden/>
              </w:rPr>
              <w:fldChar w:fldCharType="end"/>
            </w:r>
          </w:hyperlink>
        </w:p>
        <w:p w14:paraId="3B52CC80" w14:textId="1A8145C7"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96" w:history="1">
            <w:r w:rsidRPr="00600453">
              <w:rPr>
                <w:rStyle w:val="Hyperlink"/>
                <w:rFonts w:ascii="Calibri Light" w:eastAsia="Calibri Light" w:hAnsi="Calibri Light" w:cs="Calibri Light"/>
                <w:noProof/>
              </w:rPr>
              <w:t>4.5.1 Diseño de los prompts por dirección</w:t>
            </w:r>
            <w:r>
              <w:rPr>
                <w:noProof/>
                <w:webHidden/>
              </w:rPr>
              <w:tab/>
            </w:r>
            <w:r>
              <w:rPr>
                <w:noProof/>
                <w:webHidden/>
              </w:rPr>
              <w:fldChar w:fldCharType="begin"/>
            </w:r>
            <w:r>
              <w:rPr>
                <w:noProof/>
                <w:webHidden/>
              </w:rPr>
              <w:instrText xml:space="preserve"> PAGEREF _Toc233199096 \h </w:instrText>
            </w:r>
            <w:r>
              <w:rPr>
                <w:noProof/>
                <w:webHidden/>
              </w:rPr>
            </w:r>
            <w:r>
              <w:rPr>
                <w:noProof/>
                <w:webHidden/>
              </w:rPr>
              <w:fldChar w:fldCharType="separate"/>
            </w:r>
            <w:r>
              <w:rPr>
                <w:noProof/>
                <w:webHidden/>
              </w:rPr>
              <w:t>55</w:t>
            </w:r>
            <w:r>
              <w:rPr>
                <w:noProof/>
                <w:webHidden/>
              </w:rPr>
              <w:fldChar w:fldCharType="end"/>
            </w:r>
          </w:hyperlink>
        </w:p>
        <w:p w14:paraId="727C1D98" w14:textId="02D3A05D"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97" w:history="1">
            <w:r w:rsidRPr="00600453">
              <w:rPr>
                <w:rStyle w:val="Hyperlink"/>
                <w:rFonts w:ascii="Calibri Light" w:eastAsia="Calibri Light" w:hAnsi="Calibri Light" w:cs="Calibri Light"/>
                <w:noProof/>
              </w:rPr>
              <w:t>4.5.2 Recuperación multi-índice</w:t>
            </w:r>
            <w:r>
              <w:rPr>
                <w:noProof/>
                <w:webHidden/>
              </w:rPr>
              <w:tab/>
            </w:r>
            <w:r>
              <w:rPr>
                <w:noProof/>
                <w:webHidden/>
              </w:rPr>
              <w:fldChar w:fldCharType="begin"/>
            </w:r>
            <w:r>
              <w:rPr>
                <w:noProof/>
                <w:webHidden/>
              </w:rPr>
              <w:instrText xml:space="preserve"> PAGEREF _Toc233199097 \h </w:instrText>
            </w:r>
            <w:r>
              <w:rPr>
                <w:noProof/>
                <w:webHidden/>
              </w:rPr>
            </w:r>
            <w:r>
              <w:rPr>
                <w:noProof/>
                <w:webHidden/>
              </w:rPr>
              <w:fldChar w:fldCharType="separate"/>
            </w:r>
            <w:r>
              <w:rPr>
                <w:noProof/>
                <w:webHidden/>
              </w:rPr>
              <w:t>55</w:t>
            </w:r>
            <w:r>
              <w:rPr>
                <w:noProof/>
                <w:webHidden/>
              </w:rPr>
              <w:fldChar w:fldCharType="end"/>
            </w:r>
          </w:hyperlink>
        </w:p>
        <w:p w14:paraId="1E883AEB" w14:textId="3E8C2403"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098" w:history="1">
            <w:r w:rsidRPr="00600453">
              <w:rPr>
                <w:rStyle w:val="Hyperlink"/>
                <w:rFonts w:ascii="Calibri Light" w:eastAsia="Calibri Light" w:hAnsi="Calibri Light" w:cs="Calibri Light"/>
                <w:noProof/>
              </w:rPr>
              <w:t>4.6 Evaluación comparativa</w:t>
            </w:r>
            <w:r>
              <w:rPr>
                <w:noProof/>
                <w:webHidden/>
              </w:rPr>
              <w:tab/>
            </w:r>
            <w:r>
              <w:rPr>
                <w:noProof/>
                <w:webHidden/>
              </w:rPr>
              <w:fldChar w:fldCharType="begin"/>
            </w:r>
            <w:r>
              <w:rPr>
                <w:noProof/>
                <w:webHidden/>
              </w:rPr>
              <w:instrText xml:space="preserve"> PAGEREF _Toc233199098 \h </w:instrText>
            </w:r>
            <w:r>
              <w:rPr>
                <w:noProof/>
                <w:webHidden/>
              </w:rPr>
            </w:r>
            <w:r>
              <w:rPr>
                <w:noProof/>
                <w:webHidden/>
              </w:rPr>
              <w:fldChar w:fldCharType="separate"/>
            </w:r>
            <w:r>
              <w:rPr>
                <w:noProof/>
                <w:webHidden/>
              </w:rPr>
              <w:t>56</w:t>
            </w:r>
            <w:r>
              <w:rPr>
                <w:noProof/>
                <w:webHidden/>
              </w:rPr>
              <w:fldChar w:fldCharType="end"/>
            </w:r>
          </w:hyperlink>
        </w:p>
        <w:p w14:paraId="6B491605" w14:textId="57A3D7B7"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099" w:history="1">
            <w:r w:rsidRPr="00600453">
              <w:rPr>
                <w:rStyle w:val="Hyperlink"/>
                <w:rFonts w:ascii="Calibri Light" w:eastAsia="Calibri Light" w:hAnsi="Calibri Light" w:cs="Calibri Light"/>
                <w:noProof/>
              </w:rPr>
              <w:t>4.6.1 Análisis cualitativo de las traducciones</w:t>
            </w:r>
            <w:r>
              <w:rPr>
                <w:noProof/>
                <w:webHidden/>
              </w:rPr>
              <w:tab/>
            </w:r>
            <w:r>
              <w:rPr>
                <w:noProof/>
                <w:webHidden/>
              </w:rPr>
              <w:fldChar w:fldCharType="begin"/>
            </w:r>
            <w:r>
              <w:rPr>
                <w:noProof/>
                <w:webHidden/>
              </w:rPr>
              <w:instrText xml:space="preserve"> PAGEREF _Toc233199099 \h </w:instrText>
            </w:r>
            <w:r>
              <w:rPr>
                <w:noProof/>
                <w:webHidden/>
              </w:rPr>
            </w:r>
            <w:r>
              <w:rPr>
                <w:noProof/>
                <w:webHidden/>
              </w:rPr>
              <w:fldChar w:fldCharType="separate"/>
            </w:r>
            <w:r>
              <w:rPr>
                <w:noProof/>
                <w:webHidden/>
              </w:rPr>
              <w:t>61</w:t>
            </w:r>
            <w:r>
              <w:rPr>
                <w:noProof/>
                <w:webHidden/>
              </w:rPr>
              <w:fldChar w:fldCharType="end"/>
            </w:r>
          </w:hyperlink>
        </w:p>
        <w:p w14:paraId="6DDEB70C" w14:textId="21357BB2" w:rsidR="005E4874" w:rsidRDefault="005E4874">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3199100" w:history="1">
            <w:r w:rsidRPr="00600453">
              <w:rPr>
                <w:rStyle w:val="Hyperlink"/>
                <w:rFonts w:ascii="Calibri Light" w:eastAsia="Calibri Light" w:hAnsi="Calibri Light" w:cs="Calibri Light"/>
                <w:noProof/>
              </w:rPr>
              <w:t>4.6.2 Taxonomía de errores</w:t>
            </w:r>
            <w:r>
              <w:rPr>
                <w:noProof/>
                <w:webHidden/>
              </w:rPr>
              <w:tab/>
            </w:r>
            <w:r>
              <w:rPr>
                <w:noProof/>
                <w:webHidden/>
              </w:rPr>
              <w:fldChar w:fldCharType="begin"/>
            </w:r>
            <w:r>
              <w:rPr>
                <w:noProof/>
                <w:webHidden/>
              </w:rPr>
              <w:instrText xml:space="preserve"> PAGEREF _Toc233199100 \h </w:instrText>
            </w:r>
            <w:r>
              <w:rPr>
                <w:noProof/>
                <w:webHidden/>
              </w:rPr>
            </w:r>
            <w:r>
              <w:rPr>
                <w:noProof/>
                <w:webHidden/>
              </w:rPr>
              <w:fldChar w:fldCharType="separate"/>
            </w:r>
            <w:r>
              <w:rPr>
                <w:noProof/>
                <w:webHidden/>
              </w:rPr>
              <w:t>65</w:t>
            </w:r>
            <w:r>
              <w:rPr>
                <w:noProof/>
                <w:webHidden/>
              </w:rPr>
              <w:fldChar w:fldCharType="end"/>
            </w:r>
          </w:hyperlink>
        </w:p>
        <w:p w14:paraId="14214385" w14:textId="284C5D22"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101" w:history="1">
            <w:r w:rsidRPr="00600453">
              <w:rPr>
                <w:rStyle w:val="Hyperlink"/>
                <w:rFonts w:ascii="Calibri Light" w:eastAsia="Calibri Light" w:hAnsi="Calibri Light" w:cs="Calibri Light"/>
                <w:noProof/>
              </w:rPr>
              <w:t>4.7 Repositorio de código y datos</w:t>
            </w:r>
            <w:r>
              <w:rPr>
                <w:noProof/>
                <w:webHidden/>
              </w:rPr>
              <w:tab/>
            </w:r>
            <w:r>
              <w:rPr>
                <w:noProof/>
                <w:webHidden/>
              </w:rPr>
              <w:fldChar w:fldCharType="begin"/>
            </w:r>
            <w:r>
              <w:rPr>
                <w:noProof/>
                <w:webHidden/>
              </w:rPr>
              <w:instrText xml:space="preserve"> PAGEREF _Toc233199101 \h </w:instrText>
            </w:r>
            <w:r>
              <w:rPr>
                <w:noProof/>
                <w:webHidden/>
              </w:rPr>
            </w:r>
            <w:r>
              <w:rPr>
                <w:noProof/>
                <w:webHidden/>
              </w:rPr>
              <w:fldChar w:fldCharType="separate"/>
            </w:r>
            <w:r>
              <w:rPr>
                <w:noProof/>
                <w:webHidden/>
              </w:rPr>
              <w:t>67</w:t>
            </w:r>
            <w:r>
              <w:rPr>
                <w:noProof/>
                <w:webHidden/>
              </w:rPr>
              <w:fldChar w:fldCharType="end"/>
            </w:r>
          </w:hyperlink>
        </w:p>
        <w:p w14:paraId="5B27F80B" w14:textId="01B8BD43" w:rsidR="005E4874" w:rsidRDefault="005E4874">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3199102" w:history="1">
            <w:r w:rsidRPr="00600453">
              <w:rPr>
                <w:rStyle w:val="Hyperlink"/>
                <w:rFonts w:ascii="Calibri Light" w:eastAsia="Calibri Light" w:hAnsi="Calibri Light" w:cs="Calibri Light"/>
                <w:noProof/>
              </w:rPr>
              <w:t>5. Conclusiones y trabajo futuro</w:t>
            </w:r>
            <w:r>
              <w:rPr>
                <w:noProof/>
                <w:webHidden/>
              </w:rPr>
              <w:tab/>
            </w:r>
            <w:r>
              <w:rPr>
                <w:noProof/>
                <w:webHidden/>
              </w:rPr>
              <w:fldChar w:fldCharType="begin"/>
            </w:r>
            <w:r>
              <w:rPr>
                <w:noProof/>
                <w:webHidden/>
              </w:rPr>
              <w:instrText xml:space="preserve"> PAGEREF _Toc233199102 \h </w:instrText>
            </w:r>
            <w:r>
              <w:rPr>
                <w:noProof/>
                <w:webHidden/>
              </w:rPr>
            </w:r>
            <w:r>
              <w:rPr>
                <w:noProof/>
                <w:webHidden/>
              </w:rPr>
              <w:fldChar w:fldCharType="separate"/>
            </w:r>
            <w:r>
              <w:rPr>
                <w:noProof/>
                <w:webHidden/>
              </w:rPr>
              <w:t>68</w:t>
            </w:r>
            <w:r>
              <w:rPr>
                <w:noProof/>
                <w:webHidden/>
              </w:rPr>
              <w:fldChar w:fldCharType="end"/>
            </w:r>
          </w:hyperlink>
        </w:p>
        <w:p w14:paraId="276396B7" w14:textId="12DB940F"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103" w:history="1">
            <w:r w:rsidRPr="00600453">
              <w:rPr>
                <w:rStyle w:val="Hyperlink"/>
                <w:rFonts w:ascii="Calibri Light" w:eastAsia="Calibri Light" w:hAnsi="Calibri Light" w:cs="Calibri Light"/>
                <w:noProof/>
              </w:rPr>
              <w:t>5.1 Conclusiones</w:t>
            </w:r>
            <w:r>
              <w:rPr>
                <w:noProof/>
                <w:webHidden/>
              </w:rPr>
              <w:tab/>
            </w:r>
            <w:r>
              <w:rPr>
                <w:noProof/>
                <w:webHidden/>
              </w:rPr>
              <w:fldChar w:fldCharType="begin"/>
            </w:r>
            <w:r>
              <w:rPr>
                <w:noProof/>
                <w:webHidden/>
              </w:rPr>
              <w:instrText xml:space="preserve"> PAGEREF _Toc233199103 \h </w:instrText>
            </w:r>
            <w:r>
              <w:rPr>
                <w:noProof/>
                <w:webHidden/>
              </w:rPr>
            </w:r>
            <w:r>
              <w:rPr>
                <w:noProof/>
                <w:webHidden/>
              </w:rPr>
              <w:fldChar w:fldCharType="separate"/>
            </w:r>
            <w:r>
              <w:rPr>
                <w:noProof/>
                <w:webHidden/>
              </w:rPr>
              <w:t>68</w:t>
            </w:r>
            <w:r>
              <w:rPr>
                <w:noProof/>
                <w:webHidden/>
              </w:rPr>
              <w:fldChar w:fldCharType="end"/>
            </w:r>
          </w:hyperlink>
        </w:p>
        <w:p w14:paraId="3299A05B" w14:textId="01D30A21"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104" w:history="1">
            <w:r w:rsidRPr="00600453">
              <w:rPr>
                <w:rStyle w:val="Hyperlink"/>
                <w:rFonts w:ascii="Calibri Light" w:eastAsia="Calibri Light" w:hAnsi="Calibri Light" w:cs="Calibri Light"/>
                <w:noProof/>
              </w:rPr>
              <w:t>5.2 Discusión</w:t>
            </w:r>
            <w:r>
              <w:rPr>
                <w:noProof/>
                <w:webHidden/>
              </w:rPr>
              <w:tab/>
            </w:r>
            <w:r>
              <w:rPr>
                <w:noProof/>
                <w:webHidden/>
              </w:rPr>
              <w:fldChar w:fldCharType="begin"/>
            </w:r>
            <w:r>
              <w:rPr>
                <w:noProof/>
                <w:webHidden/>
              </w:rPr>
              <w:instrText xml:space="preserve"> PAGEREF _Toc233199104 \h </w:instrText>
            </w:r>
            <w:r>
              <w:rPr>
                <w:noProof/>
                <w:webHidden/>
              </w:rPr>
            </w:r>
            <w:r>
              <w:rPr>
                <w:noProof/>
                <w:webHidden/>
              </w:rPr>
              <w:fldChar w:fldCharType="separate"/>
            </w:r>
            <w:r>
              <w:rPr>
                <w:noProof/>
                <w:webHidden/>
              </w:rPr>
              <w:t>70</w:t>
            </w:r>
            <w:r>
              <w:rPr>
                <w:noProof/>
                <w:webHidden/>
              </w:rPr>
              <w:fldChar w:fldCharType="end"/>
            </w:r>
          </w:hyperlink>
        </w:p>
        <w:p w14:paraId="4AA98D89" w14:textId="4464D786" w:rsidR="005E4874" w:rsidRDefault="005E4874">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3199105" w:history="1">
            <w:r w:rsidRPr="00600453">
              <w:rPr>
                <w:rStyle w:val="Hyperlink"/>
                <w:rFonts w:ascii="Calibri Light" w:eastAsia="Calibri Light" w:hAnsi="Calibri Light" w:cs="Calibri Light"/>
                <w:noProof/>
              </w:rPr>
              <w:t>5.3 Líneas de trabajo futuras</w:t>
            </w:r>
            <w:r>
              <w:rPr>
                <w:noProof/>
                <w:webHidden/>
              </w:rPr>
              <w:tab/>
            </w:r>
            <w:r>
              <w:rPr>
                <w:noProof/>
                <w:webHidden/>
              </w:rPr>
              <w:fldChar w:fldCharType="begin"/>
            </w:r>
            <w:r>
              <w:rPr>
                <w:noProof/>
                <w:webHidden/>
              </w:rPr>
              <w:instrText xml:space="preserve"> PAGEREF _Toc233199105 \h </w:instrText>
            </w:r>
            <w:r>
              <w:rPr>
                <w:noProof/>
                <w:webHidden/>
              </w:rPr>
            </w:r>
            <w:r>
              <w:rPr>
                <w:noProof/>
                <w:webHidden/>
              </w:rPr>
              <w:fldChar w:fldCharType="separate"/>
            </w:r>
            <w:r>
              <w:rPr>
                <w:noProof/>
                <w:webHidden/>
              </w:rPr>
              <w:t>72</w:t>
            </w:r>
            <w:r>
              <w:rPr>
                <w:noProof/>
                <w:webHidden/>
              </w:rPr>
              <w:fldChar w:fldCharType="end"/>
            </w:r>
          </w:hyperlink>
        </w:p>
        <w:p w14:paraId="65A7AFBD" w14:textId="6672FA95" w:rsidR="005E4874" w:rsidRDefault="005E4874">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3199106" w:history="1">
            <w:r w:rsidRPr="00600453">
              <w:rPr>
                <w:rStyle w:val="Hyperlink"/>
                <w:noProof/>
              </w:rPr>
              <w:t>Referencias bibliográficas</w:t>
            </w:r>
            <w:r>
              <w:rPr>
                <w:noProof/>
                <w:webHidden/>
              </w:rPr>
              <w:tab/>
            </w:r>
            <w:r>
              <w:rPr>
                <w:noProof/>
                <w:webHidden/>
              </w:rPr>
              <w:fldChar w:fldCharType="begin"/>
            </w:r>
            <w:r>
              <w:rPr>
                <w:noProof/>
                <w:webHidden/>
              </w:rPr>
              <w:instrText xml:space="preserve"> PAGEREF _Toc233199106 \h </w:instrText>
            </w:r>
            <w:r>
              <w:rPr>
                <w:noProof/>
                <w:webHidden/>
              </w:rPr>
            </w:r>
            <w:r>
              <w:rPr>
                <w:noProof/>
                <w:webHidden/>
              </w:rPr>
              <w:fldChar w:fldCharType="separate"/>
            </w:r>
            <w:r>
              <w:rPr>
                <w:noProof/>
                <w:webHidden/>
              </w:rPr>
              <w:t>75</w:t>
            </w:r>
            <w:r>
              <w:rPr>
                <w:noProof/>
                <w:webHidden/>
              </w:rPr>
              <w:fldChar w:fldCharType="end"/>
            </w:r>
          </w:hyperlink>
        </w:p>
        <w:p w14:paraId="6D0DBFDF" w14:textId="0DD7E136" w:rsidR="005E4874" w:rsidRDefault="005E4874">
          <w:pPr>
            <w:pStyle w:val="TOC1"/>
            <w:tabs>
              <w:tab w:val="left" w:pos="1200"/>
              <w:tab w:val="right" w:leader="dot" w:pos="9061"/>
            </w:tabs>
            <w:rPr>
              <w:rFonts w:eastAsiaTheme="minorEastAsia" w:cstheme="minorBidi"/>
              <w:b w:val="0"/>
              <w:bCs w:val="0"/>
              <w:caps w:val="0"/>
              <w:noProof/>
              <w:kern w:val="2"/>
              <w:sz w:val="24"/>
              <w:szCs w:val="24"/>
              <w:lang w:val="en-CO" w:eastAsia="en-US"/>
              <w14:ligatures w14:val="standardContextual"/>
            </w:rPr>
          </w:pPr>
          <w:hyperlink w:anchor="_Toc233199107" w:history="1">
            <w:r w:rsidRPr="00600453">
              <w:rPr>
                <w:rStyle w:val="Hyperlink"/>
                <w:noProof/>
              </w:rPr>
              <w:t>Anexo A.</w:t>
            </w:r>
            <w:r>
              <w:rPr>
                <w:rFonts w:eastAsiaTheme="minorEastAsia" w:cstheme="minorBidi"/>
                <w:b w:val="0"/>
                <w:bCs w:val="0"/>
                <w:caps w:val="0"/>
                <w:noProof/>
                <w:kern w:val="2"/>
                <w:sz w:val="24"/>
                <w:szCs w:val="24"/>
                <w:lang w:val="en-CO" w:eastAsia="en-US"/>
                <w14:ligatures w14:val="standardContextual"/>
              </w:rPr>
              <w:tab/>
            </w:r>
            <w:r w:rsidRPr="00600453">
              <w:rPr>
                <w:rStyle w:val="Hyperlink"/>
                <w:noProof/>
              </w:rPr>
              <w:t>Anexo A. Código fuente y datos analizados</w:t>
            </w:r>
            <w:r>
              <w:rPr>
                <w:noProof/>
                <w:webHidden/>
              </w:rPr>
              <w:tab/>
            </w:r>
            <w:r>
              <w:rPr>
                <w:noProof/>
                <w:webHidden/>
              </w:rPr>
              <w:fldChar w:fldCharType="begin"/>
            </w:r>
            <w:r>
              <w:rPr>
                <w:noProof/>
                <w:webHidden/>
              </w:rPr>
              <w:instrText xml:space="preserve"> PAGEREF _Toc233199107 \h </w:instrText>
            </w:r>
            <w:r>
              <w:rPr>
                <w:noProof/>
                <w:webHidden/>
              </w:rPr>
            </w:r>
            <w:r>
              <w:rPr>
                <w:noProof/>
                <w:webHidden/>
              </w:rPr>
              <w:fldChar w:fldCharType="separate"/>
            </w:r>
            <w:r>
              <w:rPr>
                <w:noProof/>
                <w:webHidden/>
              </w:rPr>
              <w:t>80</w:t>
            </w:r>
            <w:r>
              <w:rPr>
                <w:noProof/>
                <w:webHidden/>
              </w:rPr>
              <w:fldChar w:fldCharType="end"/>
            </w:r>
          </w:hyperlink>
        </w:p>
        <w:p w14:paraId="0260D937" w14:textId="4386C286" w:rsidR="00E47690" w:rsidRDefault="00E47690">
          <w:r>
            <w:rPr>
              <w:b/>
              <w:bCs/>
              <w:noProof/>
            </w:rPr>
            <w:fldChar w:fldCharType="end"/>
          </w:r>
        </w:p>
      </w:sdtContent>
    </w:sdt>
    <w:p w14:paraId="5879C196" w14:textId="77777777" w:rsidR="00E47690" w:rsidRDefault="00E47690" w:rsidP="00E47690">
      <w:pPr>
        <w:spacing w:before="240" w:after="200"/>
        <w:rPr>
          <w:rFonts w:ascii="Calibri" w:eastAsia="Calibri" w:hAnsi="Calibri" w:cs="Calibri"/>
          <w:b/>
          <w:bCs/>
          <w:sz w:val="32"/>
          <w:szCs w:val="32"/>
        </w:rPr>
      </w:pPr>
    </w:p>
    <w:p w14:paraId="52047095" w14:textId="77777777" w:rsidR="00E47690" w:rsidRDefault="00E47690" w:rsidP="00E47690">
      <w:pPr>
        <w:spacing w:before="240" w:after="200"/>
        <w:rPr>
          <w:rFonts w:ascii="Calibri" w:eastAsia="Calibri" w:hAnsi="Calibri" w:cs="Calibri"/>
          <w:b/>
          <w:bCs/>
          <w:sz w:val="32"/>
          <w:szCs w:val="32"/>
        </w:rPr>
      </w:pPr>
    </w:p>
    <w:p w14:paraId="0F5FF3DA" w14:textId="77777777" w:rsidR="00E47690" w:rsidRDefault="00E47690" w:rsidP="00E47690">
      <w:pPr>
        <w:spacing w:before="240" w:after="200"/>
        <w:rPr>
          <w:rFonts w:ascii="Calibri" w:eastAsia="Calibri" w:hAnsi="Calibri" w:cs="Calibri"/>
          <w:b/>
          <w:bCs/>
          <w:sz w:val="32"/>
          <w:szCs w:val="32"/>
        </w:rPr>
      </w:pPr>
    </w:p>
    <w:p w14:paraId="6F1A9F00" w14:textId="77777777" w:rsidR="00E47690" w:rsidRDefault="00E47690" w:rsidP="00E47690">
      <w:pPr>
        <w:spacing w:before="240" w:after="200"/>
        <w:rPr>
          <w:rFonts w:ascii="Calibri" w:eastAsia="Calibri" w:hAnsi="Calibri" w:cs="Calibri"/>
          <w:b/>
          <w:bCs/>
          <w:sz w:val="32"/>
          <w:szCs w:val="32"/>
        </w:rPr>
      </w:pPr>
    </w:p>
    <w:p w14:paraId="6B52B4AA" w14:textId="77777777" w:rsidR="00E47690" w:rsidRDefault="00E47690" w:rsidP="00E47690">
      <w:pPr>
        <w:spacing w:before="240" w:after="200"/>
        <w:rPr>
          <w:rFonts w:ascii="Calibri" w:eastAsia="Calibri" w:hAnsi="Calibri" w:cs="Calibri"/>
          <w:b/>
          <w:bCs/>
          <w:sz w:val="32"/>
          <w:szCs w:val="32"/>
        </w:rPr>
      </w:pPr>
    </w:p>
    <w:p w14:paraId="599C2E0A" w14:textId="77777777" w:rsidR="00E47690" w:rsidRDefault="00E47690" w:rsidP="00E47690">
      <w:pPr>
        <w:spacing w:before="240" w:after="200"/>
        <w:rPr>
          <w:rFonts w:ascii="Calibri" w:eastAsia="Calibri" w:hAnsi="Calibri" w:cs="Calibri"/>
          <w:b/>
          <w:bCs/>
          <w:sz w:val="32"/>
          <w:szCs w:val="32"/>
        </w:rPr>
      </w:pPr>
      <w:r>
        <w:rPr>
          <w:rFonts w:ascii="Calibri" w:eastAsia="Calibri" w:hAnsi="Calibri" w:cs="Calibri"/>
          <w:b/>
          <w:bCs/>
          <w:sz w:val="32"/>
          <w:szCs w:val="32"/>
        </w:rPr>
        <w:lastRenderedPageBreak/>
        <w:t>Índice de figuras</w:t>
      </w:r>
    </w:p>
    <w:p w14:paraId="37D10A50" w14:textId="78E56C9C" w:rsidR="005E4874" w:rsidRDefault="00E47690">
      <w:pPr>
        <w:pStyle w:val="TableofFigures"/>
        <w:tabs>
          <w:tab w:val="right" w:leader="dot" w:pos="9061"/>
        </w:tabs>
        <w:rPr>
          <w:rFonts w:eastAsiaTheme="minorEastAsia" w:cstheme="minorBidi"/>
          <w:noProof/>
          <w:kern w:val="2"/>
          <w:sz w:val="24"/>
          <w:szCs w:val="24"/>
          <w:lang w:val="en-CO" w:eastAsia="en-US"/>
          <w14:ligatures w14:val="standardContextual"/>
        </w:rPr>
      </w:pPr>
      <w:r>
        <w:fldChar w:fldCharType="begin"/>
      </w:r>
      <w:r>
        <w:instrText xml:space="preserve"> TOC \h \z \c "Ilustración" </w:instrText>
      </w:r>
      <w:r>
        <w:fldChar w:fldCharType="separate"/>
      </w:r>
      <w:hyperlink w:anchor="_Toc233199108" w:history="1">
        <w:r w:rsidR="005E4874" w:rsidRPr="00852786">
          <w:rPr>
            <w:rStyle w:val="Hyperlink"/>
            <w:noProof/>
          </w:rPr>
          <w:t>Figura 1 Ubicación del pueblo Inga en el Putumayo</w:t>
        </w:r>
        <w:r w:rsidR="005E4874">
          <w:rPr>
            <w:noProof/>
            <w:webHidden/>
          </w:rPr>
          <w:tab/>
        </w:r>
        <w:r w:rsidR="005E4874">
          <w:rPr>
            <w:noProof/>
            <w:webHidden/>
          </w:rPr>
          <w:fldChar w:fldCharType="begin"/>
        </w:r>
        <w:r w:rsidR="005E4874">
          <w:rPr>
            <w:noProof/>
            <w:webHidden/>
          </w:rPr>
          <w:instrText xml:space="preserve"> PAGEREF _Toc233199108 \h </w:instrText>
        </w:r>
        <w:r w:rsidR="005E4874">
          <w:rPr>
            <w:noProof/>
            <w:webHidden/>
          </w:rPr>
        </w:r>
        <w:r w:rsidR="005E4874">
          <w:rPr>
            <w:noProof/>
            <w:webHidden/>
          </w:rPr>
          <w:fldChar w:fldCharType="separate"/>
        </w:r>
        <w:r w:rsidR="005E4874">
          <w:rPr>
            <w:noProof/>
            <w:webHidden/>
          </w:rPr>
          <w:t>14</w:t>
        </w:r>
        <w:r w:rsidR="005E4874">
          <w:rPr>
            <w:noProof/>
            <w:webHidden/>
          </w:rPr>
          <w:fldChar w:fldCharType="end"/>
        </w:r>
      </w:hyperlink>
    </w:p>
    <w:p w14:paraId="69857AC6" w14:textId="3C21AA8A"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09" w:history="1">
        <w:r w:rsidRPr="00852786">
          <w:rPr>
            <w:rStyle w:val="Hyperlink"/>
            <w:noProof/>
          </w:rPr>
          <w:t>Figura 2 Arquitectura general del sistema comparativo de traducción automática Inga-Español</w:t>
        </w:r>
        <w:r>
          <w:rPr>
            <w:noProof/>
            <w:webHidden/>
          </w:rPr>
          <w:tab/>
        </w:r>
        <w:r>
          <w:rPr>
            <w:noProof/>
            <w:webHidden/>
          </w:rPr>
          <w:fldChar w:fldCharType="begin"/>
        </w:r>
        <w:r>
          <w:rPr>
            <w:noProof/>
            <w:webHidden/>
          </w:rPr>
          <w:instrText xml:space="preserve"> PAGEREF _Toc233199109 \h </w:instrText>
        </w:r>
        <w:r>
          <w:rPr>
            <w:noProof/>
            <w:webHidden/>
          </w:rPr>
        </w:r>
        <w:r>
          <w:rPr>
            <w:noProof/>
            <w:webHidden/>
          </w:rPr>
          <w:fldChar w:fldCharType="separate"/>
        </w:r>
        <w:r>
          <w:rPr>
            <w:noProof/>
            <w:webHidden/>
          </w:rPr>
          <w:t>16</w:t>
        </w:r>
        <w:r>
          <w:rPr>
            <w:noProof/>
            <w:webHidden/>
          </w:rPr>
          <w:fldChar w:fldCharType="end"/>
        </w:r>
      </w:hyperlink>
    </w:p>
    <w:p w14:paraId="40C3E45B" w14:textId="57074AE1"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10" w:history="1">
        <w:r w:rsidRPr="00852786">
          <w:rPr>
            <w:rStyle w:val="Hyperlink"/>
            <w:noProof/>
          </w:rPr>
          <w:t>Figura 3 Variantes dialectales del Inga: Alto Putumayo y Medio Putumayo</w:t>
        </w:r>
        <w:r>
          <w:rPr>
            <w:noProof/>
            <w:webHidden/>
          </w:rPr>
          <w:tab/>
        </w:r>
        <w:r>
          <w:rPr>
            <w:noProof/>
            <w:webHidden/>
          </w:rPr>
          <w:fldChar w:fldCharType="begin"/>
        </w:r>
        <w:r>
          <w:rPr>
            <w:noProof/>
            <w:webHidden/>
          </w:rPr>
          <w:instrText xml:space="preserve"> PAGEREF _Toc233199110 \h </w:instrText>
        </w:r>
        <w:r>
          <w:rPr>
            <w:noProof/>
            <w:webHidden/>
          </w:rPr>
        </w:r>
        <w:r>
          <w:rPr>
            <w:noProof/>
            <w:webHidden/>
          </w:rPr>
          <w:fldChar w:fldCharType="separate"/>
        </w:r>
        <w:r>
          <w:rPr>
            <w:noProof/>
            <w:webHidden/>
          </w:rPr>
          <w:t>19</w:t>
        </w:r>
        <w:r>
          <w:rPr>
            <w:noProof/>
            <w:webHidden/>
          </w:rPr>
          <w:fldChar w:fldCharType="end"/>
        </w:r>
      </w:hyperlink>
    </w:p>
    <w:p w14:paraId="361C5C83" w14:textId="5189FF74"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11" w:history="1">
        <w:r w:rsidRPr="00852786">
          <w:rPr>
            <w:rStyle w:val="Hyperlink"/>
            <w:noProof/>
          </w:rPr>
          <w:t>Figura 4 Pipeline de construcción del corpus paralelo Inga-Español</w:t>
        </w:r>
        <w:r>
          <w:rPr>
            <w:noProof/>
            <w:webHidden/>
          </w:rPr>
          <w:tab/>
        </w:r>
        <w:r>
          <w:rPr>
            <w:noProof/>
            <w:webHidden/>
          </w:rPr>
          <w:fldChar w:fldCharType="begin"/>
        </w:r>
        <w:r>
          <w:rPr>
            <w:noProof/>
            <w:webHidden/>
          </w:rPr>
          <w:instrText xml:space="preserve"> PAGEREF _Toc233199111 \h </w:instrText>
        </w:r>
        <w:r>
          <w:rPr>
            <w:noProof/>
            <w:webHidden/>
          </w:rPr>
        </w:r>
        <w:r>
          <w:rPr>
            <w:noProof/>
            <w:webHidden/>
          </w:rPr>
          <w:fldChar w:fldCharType="separate"/>
        </w:r>
        <w:r>
          <w:rPr>
            <w:noProof/>
            <w:webHidden/>
          </w:rPr>
          <w:t>37</w:t>
        </w:r>
        <w:r>
          <w:rPr>
            <w:noProof/>
            <w:webHidden/>
          </w:rPr>
          <w:fldChar w:fldCharType="end"/>
        </w:r>
      </w:hyperlink>
    </w:p>
    <w:p w14:paraId="7915E52E" w14:textId="1AA00871"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12" w:history="1">
        <w:r w:rsidRPr="00852786">
          <w:rPr>
            <w:rStyle w:val="Hyperlink"/>
            <w:noProof/>
          </w:rPr>
          <w:t>Figura 5 Pipeline de ajuste fino eficiente del modelo de traducción multilingüe</w:t>
        </w:r>
        <w:r>
          <w:rPr>
            <w:noProof/>
            <w:webHidden/>
          </w:rPr>
          <w:tab/>
        </w:r>
        <w:r>
          <w:rPr>
            <w:noProof/>
            <w:webHidden/>
          </w:rPr>
          <w:fldChar w:fldCharType="begin"/>
        </w:r>
        <w:r>
          <w:rPr>
            <w:noProof/>
            <w:webHidden/>
          </w:rPr>
          <w:instrText xml:space="preserve"> PAGEREF _Toc233199112 \h </w:instrText>
        </w:r>
        <w:r>
          <w:rPr>
            <w:noProof/>
            <w:webHidden/>
          </w:rPr>
        </w:r>
        <w:r>
          <w:rPr>
            <w:noProof/>
            <w:webHidden/>
          </w:rPr>
          <w:fldChar w:fldCharType="separate"/>
        </w:r>
        <w:r>
          <w:rPr>
            <w:noProof/>
            <w:webHidden/>
          </w:rPr>
          <w:t>37</w:t>
        </w:r>
        <w:r>
          <w:rPr>
            <w:noProof/>
            <w:webHidden/>
          </w:rPr>
          <w:fldChar w:fldCharType="end"/>
        </w:r>
      </w:hyperlink>
    </w:p>
    <w:p w14:paraId="5805FC83" w14:textId="6461C1F7"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13" w:history="1">
        <w:r w:rsidRPr="00852786">
          <w:rPr>
            <w:rStyle w:val="Hyperlink"/>
            <w:noProof/>
          </w:rPr>
          <w:t>Figura 6 Pipeline de traducción basado en modelo de lenguaje de frontera con recuperación aumentada</w:t>
        </w:r>
        <w:r>
          <w:rPr>
            <w:noProof/>
            <w:webHidden/>
          </w:rPr>
          <w:tab/>
        </w:r>
        <w:r>
          <w:rPr>
            <w:noProof/>
            <w:webHidden/>
          </w:rPr>
          <w:fldChar w:fldCharType="begin"/>
        </w:r>
        <w:r>
          <w:rPr>
            <w:noProof/>
            <w:webHidden/>
          </w:rPr>
          <w:instrText xml:space="preserve"> PAGEREF _Toc233199113 \h </w:instrText>
        </w:r>
        <w:r>
          <w:rPr>
            <w:noProof/>
            <w:webHidden/>
          </w:rPr>
        </w:r>
        <w:r>
          <w:rPr>
            <w:noProof/>
            <w:webHidden/>
          </w:rPr>
          <w:fldChar w:fldCharType="separate"/>
        </w:r>
        <w:r>
          <w:rPr>
            <w:noProof/>
            <w:webHidden/>
          </w:rPr>
          <w:t>38</w:t>
        </w:r>
        <w:r>
          <w:rPr>
            <w:noProof/>
            <w:webHidden/>
          </w:rPr>
          <w:fldChar w:fldCharType="end"/>
        </w:r>
      </w:hyperlink>
    </w:p>
    <w:p w14:paraId="78B50F85" w14:textId="6302CE64"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14" w:history="1">
        <w:r w:rsidRPr="00852786">
          <w:rPr>
            <w:rStyle w:val="Hyperlink"/>
            <w:noProof/>
          </w:rPr>
          <w:t>Figura 7 Cronograma del proyecto, distribuido por fases y fechas</w:t>
        </w:r>
        <w:r>
          <w:rPr>
            <w:noProof/>
            <w:webHidden/>
          </w:rPr>
          <w:tab/>
        </w:r>
        <w:r>
          <w:rPr>
            <w:noProof/>
            <w:webHidden/>
          </w:rPr>
          <w:fldChar w:fldCharType="begin"/>
        </w:r>
        <w:r>
          <w:rPr>
            <w:noProof/>
            <w:webHidden/>
          </w:rPr>
          <w:instrText xml:space="preserve"> PAGEREF _Toc233199114 \h </w:instrText>
        </w:r>
        <w:r>
          <w:rPr>
            <w:noProof/>
            <w:webHidden/>
          </w:rPr>
        </w:r>
        <w:r>
          <w:rPr>
            <w:noProof/>
            <w:webHidden/>
          </w:rPr>
          <w:fldChar w:fldCharType="separate"/>
        </w:r>
        <w:r>
          <w:rPr>
            <w:noProof/>
            <w:webHidden/>
          </w:rPr>
          <w:t>39</w:t>
        </w:r>
        <w:r>
          <w:rPr>
            <w:noProof/>
            <w:webHidden/>
          </w:rPr>
          <w:fldChar w:fldCharType="end"/>
        </w:r>
      </w:hyperlink>
    </w:p>
    <w:p w14:paraId="55214AAA" w14:textId="1C3FC59E"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15" w:history="1">
        <w:r w:rsidRPr="00852786">
          <w:rPr>
            <w:rStyle w:val="Hyperlink"/>
            <w:noProof/>
          </w:rPr>
          <w:t>Figura 8 Distribución del corpus paralelo Inga-español por libro y partición</w:t>
        </w:r>
        <w:r>
          <w:rPr>
            <w:noProof/>
            <w:webHidden/>
          </w:rPr>
          <w:tab/>
        </w:r>
        <w:r>
          <w:rPr>
            <w:noProof/>
            <w:webHidden/>
          </w:rPr>
          <w:fldChar w:fldCharType="begin"/>
        </w:r>
        <w:r>
          <w:rPr>
            <w:noProof/>
            <w:webHidden/>
          </w:rPr>
          <w:instrText xml:space="preserve"> PAGEREF _Toc233199115 \h </w:instrText>
        </w:r>
        <w:r>
          <w:rPr>
            <w:noProof/>
            <w:webHidden/>
          </w:rPr>
        </w:r>
        <w:r>
          <w:rPr>
            <w:noProof/>
            <w:webHidden/>
          </w:rPr>
          <w:fldChar w:fldCharType="separate"/>
        </w:r>
        <w:r>
          <w:rPr>
            <w:noProof/>
            <w:webHidden/>
          </w:rPr>
          <w:t>47</w:t>
        </w:r>
        <w:r>
          <w:rPr>
            <w:noProof/>
            <w:webHidden/>
          </w:rPr>
          <w:fldChar w:fldCharType="end"/>
        </w:r>
      </w:hyperlink>
    </w:p>
    <w:p w14:paraId="793A446E" w14:textId="1B9AEAE0" w:rsidR="005E4874" w:rsidRDefault="005E4874">
      <w:pPr>
        <w:pStyle w:val="TableofFigures"/>
        <w:tabs>
          <w:tab w:val="left" w:pos="1200"/>
          <w:tab w:val="right" w:leader="dot" w:pos="9061"/>
        </w:tabs>
        <w:rPr>
          <w:rFonts w:eastAsiaTheme="minorEastAsia" w:cstheme="minorBidi"/>
          <w:noProof/>
          <w:kern w:val="2"/>
          <w:sz w:val="24"/>
          <w:szCs w:val="24"/>
          <w:lang w:val="en-CO" w:eastAsia="en-US"/>
          <w14:ligatures w14:val="standardContextual"/>
        </w:rPr>
      </w:pPr>
      <w:hyperlink w:anchor="_Toc233199116" w:history="1">
        <w:r w:rsidRPr="00852786">
          <w:rPr>
            <w:rStyle w:val="Hyperlink"/>
            <w:noProof/>
          </w:rPr>
          <w:t xml:space="preserve">Figura 9 </w:t>
        </w:r>
        <w:r>
          <w:rPr>
            <w:rFonts w:eastAsiaTheme="minorEastAsia" w:cstheme="minorBidi"/>
            <w:noProof/>
            <w:kern w:val="2"/>
            <w:sz w:val="24"/>
            <w:szCs w:val="24"/>
            <w:lang w:val="en-CO" w:eastAsia="en-US"/>
            <w14:ligatures w14:val="standardContextual"/>
          </w:rPr>
          <w:tab/>
        </w:r>
        <w:r w:rsidRPr="00852786">
          <w:rPr>
            <w:rStyle w:val="Hyperlink"/>
            <w:noProof/>
          </w:rPr>
          <w:t>Arquitectura del sistema RAG implementado</w:t>
        </w:r>
        <w:r>
          <w:rPr>
            <w:noProof/>
            <w:webHidden/>
          </w:rPr>
          <w:tab/>
        </w:r>
        <w:r>
          <w:rPr>
            <w:noProof/>
            <w:webHidden/>
          </w:rPr>
          <w:fldChar w:fldCharType="begin"/>
        </w:r>
        <w:r>
          <w:rPr>
            <w:noProof/>
            <w:webHidden/>
          </w:rPr>
          <w:instrText xml:space="preserve"> PAGEREF _Toc233199116 \h </w:instrText>
        </w:r>
        <w:r>
          <w:rPr>
            <w:noProof/>
            <w:webHidden/>
          </w:rPr>
        </w:r>
        <w:r>
          <w:rPr>
            <w:noProof/>
            <w:webHidden/>
          </w:rPr>
          <w:fldChar w:fldCharType="separate"/>
        </w:r>
        <w:r>
          <w:rPr>
            <w:noProof/>
            <w:webHidden/>
          </w:rPr>
          <w:t>50</w:t>
        </w:r>
        <w:r>
          <w:rPr>
            <w:noProof/>
            <w:webHidden/>
          </w:rPr>
          <w:fldChar w:fldCharType="end"/>
        </w:r>
      </w:hyperlink>
    </w:p>
    <w:p w14:paraId="4B6026A6" w14:textId="7E717D15" w:rsidR="005E4874" w:rsidRDefault="005E4874">
      <w:pPr>
        <w:pStyle w:val="TableofFigures"/>
        <w:tabs>
          <w:tab w:val="left" w:pos="1200"/>
          <w:tab w:val="right" w:leader="dot" w:pos="9061"/>
        </w:tabs>
        <w:rPr>
          <w:rFonts w:eastAsiaTheme="minorEastAsia" w:cstheme="minorBidi"/>
          <w:noProof/>
          <w:kern w:val="2"/>
          <w:sz w:val="24"/>
          <w:szCs w:val="24"/>
          <w:lang w:val="en-CO" w:eastAsia="en-US"/>
          <w14:ligatures w14:val="standardContextual"/>
        </w:rPr>
      </w:pPr>
      <w:hyperlink w:anchor="_Toc233199117" w:history="1">
        <w:r w:rsidRPr="00852786">
          <w:rPr>
            <w:rStyle w:val="Hyperlink"/>
            <w:noProof/>
          </w:rPr>
          <w:t xml:space="preserve">Figura 10 </w:t>
        </w:r>
        <w:r>
          <w:rPr>
            <w:rFonts w:eastAsiaTheme="minorEastAsia" w:cstheme="minorBidi"/>
            <w:noProof/>
            <w:kern w:val="2"/>
            <w:sz w:val="24"/>
            <w:szCs w:val="24"/>
            <w:lang w:val="en-CO" w:eastAsia="en-US"/>
            <w14:ligatures w14:val="standardContextual"/>
          </w:rPr>
          <w:tab/>
        </w:r>
        <w:r w:rsidRPr="00852786">
          <w:rPr>
            <w:rStyle w:val="Hyperlink"/>
            <w:noProof/>
          </w:rPr>
          <w:t>Curva de loss del entrenamiento LoRA bidireccional</w:t>
        </w:r>
        <w:r>
          <w:rPr>
            <w:noProof/>
            <w:webHidden/>
          </w:rPr>
          <w:tab/>
        </w:r>
        <w:r>
          <w:rPr>
            <w:noProof/>
            <w:webHidden/>
          </w:rPr>
          <w:fldChar w:fldCharType="begin"/>
        </w:r>
        <w:r>
          <w:rPr>
            <w:noProof/>
            <w:webHidden/>
          </w:rPr>
          <w:instrText xml:space="preserve"> PAGEREF _Toc233199117 \h </w:instrText>
        </w:r>
        <w:r>
          <w:rPr>
            <w:noProof/>
            <w:webHidden/>
          </w:rPr>
        </w:r>
        <w:r>
          <w:rPr>
            <w:noProof/>
            <w:webHidden/>
          </w:rPr>
          <w:fldChar w:fldCharType="separate"/>
        </w:r>
        <w:r>
          <w:rPr>
            <w:noProof/>
            <w:webHidden/>
          </w:rPr>
          <w:t>53</w:t>
        </w:r>
        <w:r>
          <w:rPr>
            <w:noProof/>
            <w:webHidden/>
          </w:rPr>
          <w:fldChar w:fldCharType="end"/>
        </w:r>
      </w:hyperlink>
    </w:p>
    <w:p w14:paraId="42B77D5B" w14:textId="28B2D5B7"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18" w:history="1">
        <w:r w:rsidRPr="00852786">
          <w:rPr>
            <w:rStyle w:val="Hyperlink"/>
            <w:noProof/>
          </w:rPr>
          <w:t>Figura 11 Comparativa de BLEU, chrF++ y BERTScore por configuración y dirección</w:t>
        </w:r>
        <w:r>
          <w:rPr>
            <w:noProof/>
            <w:webHidden/>
          </w:rPr>
          <w:tab/>
        </w:r>
        <w:r>
          <w:rPr>
            <w:noProof/>
            <w:webHidden/>
          </w:rPr>
          <w:fldChar w:fldCharType="begin"/>
        </w:r>
        <w:r>
          <w:rPr>
            <w:noProof/>
            <w:webHidden/>
          </w:rPr>
          <w:instrText xml:space="preserve"> PAGEREF _Toc233199118 \h </w:instrText>
        </w:r>
        <w:r>
          <w:rPr>
            <w:noProof/>
            <w:webHidden/>
          </w:rPr>
        </w:r>
        <w:r>
          <w:rPr>
            <w:noProof/>
            <w:webHidden/>
          </w:rPr>
          <w:fldChar w:fldCharType="separate"/>
        </w:r>
        <w:r>
          <w:rPr>
            <w:noProof/>
            <w:webHidden/>
          </w:rPr>
          <w:t>61</w:t>
        </w:r>
        <w:r>
          <w:rPr>
            <w:noProof/>
            <w:webHidden/>
          </w:rPr>
          <w:fldChar w:fldCharType="end"/>
        </w:r>
      </w:hyperlink>
    </w:p>
    <w:p w14:paraId="1C3D3F3D" w14:textId="1450D7BD" w:rsidR="00E47690" w:rsidRDefault="00E47690" w:rsidP="00E47690">
      <w:pPr>
        <w:spacing w:before="240" w:after="200"/>
      </w:pPr>
      <w:r>
        <w:fldChar w:fldCharType="end"/>
      </w:r>
    </w:p>
    <w:p w14:paraId="74AFB9E2" w14:textId="77777777" w:rsidR="00103BEF" w:rsidRDefault="00103BEF" w:rsidP="00103BEF">
      <w:pPr>
        <w:rPr>
          <w:lang w:val="es-CO"/>
        </w:rPr>
      </w:pPr>
    </w:p>
    <w:p w14:paraId="147B122F" w14:textId="77777777" w:rsidR="00E47690" w:rsidRDefault="00E47690" w:rsidP="00103BEF">
      <w:pPr>
        <w:rPr>
          <w:lang w:val="es-CO"/>
        </w:rPr>
      </w:pPr>
    </w:p>
    <w:p w14:paraId="50754AF2" w14:textId="77777777" w:rsidR="00E47690" w:rsidRDefault="00E47690" w:rsidP="00103BEF">
      <w:pPr>
        <w:rPr>
          <w:lang w:val="es-CO"/>
        </w:rPr>
      </w:pPr>
    </w:p>
    <w:p w14:paraId="3EC916C2" w14:textId="77777777" w:rsidR="00E47690" w:rsidRDefault="00E47690" w:rsidP="00103BEF">
      <w:pPr>
        <w:rPr>
          <w:lang w:val="es-CO"/>
        </w:rPr>
      </w:pPr>
    </w:p>
    <w:p w14:paraId="437AD915" w14:textId="77777777" w:rsidR="00E47690" w:rsidRDefault="00E47690" w:rsidP="00103BEF">
      <w:pPr>
        <w:rPr>
          <w:lang w:val="es-CO"/>
        </w:rPr>
      </w:pPr>
    </w:p>
    <w:p w14:paraId="5AE6D4D7" w14:textId="77777777" w:rsidR="00E47690" w:rsidRDefault="00E47690" w:rsidP="00103BEF">
      <w:pPr>
        <w:rPr>
          <w:lang w:val="es-CO"/>
        </w:rPr>
      </w:pPr>
    </w:p>
    <w:p w14:paraId="6480309E" w14:textId="77777777" w:rsidR="00E47690" w:rsidRDefault="00E47690" w:rsidP="00103BEF">
      <w:pPr>
        <w:rPr>
          <w:lang w:val="es-CO"/>
        </w:rPr>
      </w:pPr>
    </w:p>
    <w:p w14:paraId="24D6088C" w14:textId="77777777" w:rsidR="00E47690" w:rsidRDefault="00E47690" w:rsidP="00103BEF">
      <w:pPr>
        <w:rPr>
          <w:lang w:val="es-CO"/>
        </w:rPr>
      </w:pPr>
    </w:p>
    <w:p w14:paraId="4212B2F5" w14:textId="77777777" w:rsidR="00E47690" w:rsidRDefault="00E47690" w:rsidP="00103BEF">
      <w:pPr>
        <w:rPr>
          <w:lang w:val="es-CO"/>
        </w:rPr>
      </w:pPr>
    </w:p>
    <w:p w14:paraId="62684183" w14:textId="77777777" w:rsidR="00E47690" w:rsidRDefault="00E47690" w:rsidP="00103BEF">
      <w:pPr>
        <w:rPr>
          <w:lang w:val="es-CO"/>
        </w:rPr>
      </w:pPr>
    </w:p>
    <w:p w14:paraId="54A616A1" w14:textId="77777777" w:rsidR="00E47690" w:rsidRDefault="00E47690" w:rsidP="00103BEF">
      <w:pPr>
        <w:rPr>
          <w:lang w:val="es-CO"/>
        </w:rPr>
      </w:pPr>
    </w:p>
    <w:p w14:paraId="02BF08BE" w14:textId="77777777" w:rsidR="00E47690" w:rsidRDefault="00E47690" w:rsidP="00103BEF">
      <w:pPr>
        <w:rPr>
          <w:lang w:val="es-CO"/>
        </w:rPr>
      </w:pPr>
    </w:p>
    <w:p w14:paraId="75BF03DD" w14:textId="77777777" w:rsidR="00E47690" w:rsidRDefault="00E47690" w:rsidP="00103BEF">
      <w:pPr>
        <w:rPr>
          <w:lang w:val="es-CO"/>
        </w:rPr>
      </w:pPr>
    </w:p>
    <w:p w14:paraId="056E6894" w14:textId="77777777" w:rsidR="00E47690" w:rsidRDefault="00E47690" w:rsidP="00E47690">
      <w:pPr>
        <w:spacing w:before="240" w:after="200"/>
        <w:rPr>
          <w:rFonts w:ascii="Calibri" w:eastAsia="Calibri" w:hAnsi="Calibri" w:cs="Calibri"/>
          <w:b/>
          <w:bCs/>
          <w:sz w:val="32"/>
          <w:szCs w:val="32"/>
        </w:rPr>
      </w:pPr>
      <w:r>
        <w:rPr>
          <w:rFonts w:ascii="Calibri" w:eastAsia="Calibri" w:hAnsi="Calibri" w:cs="Calibri"/>
          <w:b/>
          <w:bCs/>
          <w:sz w:val="32"/>
          <w:szCs w:val="32"/>
        </w:rPr>
        <w:lastRenderedPageBreak/>
        <w:t>Índice de tablas</w:t>
      </w:r>
    </w:p>
    <w:p w14:paraId="6414505D" w14:textId="1DCD4063" w:rsidR="005E4874" w:rsidRDefault="00E47690">
      <w:pPr>
        <w:pStyle w:val="TableofFigures"/>
        <w:tabs>
          <w:tab w:val="right" w:leader="dot" w:pos="9061"/>
        </w:tabs>
        <w:rPr>
          <w:rFonts w:eastAsiaTheme="minorEastAsia" w:cstheme="minorBidi"/>
          <w:noProof/>
          <w:kern w:val="2"/>
          <w:sz w:val="24"/>
          <w:szCs w:val="24"/>
          <w:lang w:val="en-CO" w:eastAsia="en-US"/>
          <w14:ligatures w14:val="standardContextual"/>
        </w:rPr>
      </w:pPr>
      <w:r>
        <w:rPr>
          <w:lang w:val="es-CO"/>
        </w:rPr>
        <w:fldChar w:fldCharType="begin"/>
      </w:r>
      <w:r>
        <w:rPr>
          <w:lang w:val="es-CO"/>
        </w:rPr>
        <w:instrText xml:space="preserve"> TOC \h \z \c "Tabla" </w:instrText>
      </w:r>
      <w:r>
        <w:rPr>
          <w:lang w:val="es-CO"/>
        </w:rPr>
        <w:fldChar w:fldCharType="separate"/>
      </w:r>
      <w:hyperlink w:anchor="_Toc233199119" w:history="1">
        <w:r w:rsidR="005E4874" w:rsidRPr="00911FF9">
          <w:rPr>
            <w:rStyle w:val="Hyperlink"/>
            <w:noProof/>
          </w:rPr>
          <w:t>Tabla 1 Organización del trabajo en grupo en la redacción de la memoria</w:t>
        </w:r>
        <w:r w:rsidR="005E4874">
          <w:rPr>
            <w:noProof/>
            <w:webHidden/>
          </w:rPr>
          <w:tab/>
        </w:r>
        <w:r w:rsidR="005E4874">
          <w:rPr>
            <w:noProof/>
            <w:webHidden/>
          </w:rPr>
          <w:fldChar w:fldCharType="begin"/>
        </w:r>
        <w:r w:rsidR="005E4874">
          <w:rPr>
            <w:noProof/>
            <w:webHidden/>
          </w:rPr>
          <w:instrText xml:space="preserve"> PAGEREF _Toc233199119 \h </w:instrText>
        </w:r>
        <w:r w:rsidR="005E4874">
          <w:rPr>
            <w:noProof/>
            <w:webHidden/>
          </w:rPr>
        </w:r>
        <w:r w:rsidR="005E4874">
          <w:rPr>
            <w:noProof/>
            <w:webHidden/>
          </w:rPr>
          <w:fldChar w:fldCharType="separate"/>
        </w:r>
        <w:r w:rsidR="005E4874">
          <w:rPr>
            <w:noProof/>
            <w:webHidden/>
          </w:rPr>
          <w:t>10</w:t>
        </w:r>
        <w:r w:rsidR="005E4874">
          <w:rPr>
            <w:noProof/>
            <w:webHidden/>
          </w:rPr>
          <w:fldChar w:fldCharType="end"/>
        </w:r>
      </w:hyperlink>
    </w:p>
    <w:p w14:paraId="7A5BE589" w14:textId="394BE0AE" w:rsidR="005E4874" w:rsidRDefault="005E4874">
      <w:pPr>
        <w:pStyle w:val="TableofFigures"/>
        <w:tabs>
          <w:tab w:val="left" w:pos="960"/>
          <w:tab w:val="right" w:leader="dot" w:pos="9061"/>
        </w:tabs>
        <w:rPr>
          <w:rFonts w:eastAsiaTheme="minorEastAsia" w:cstheme="minorBidi"/>
          <w:noProof/>
          <w:kern w:val="2"/>
          <w:sz w:val="24"/>
          <w:szCs w:val="24"/>
          <w:lang w:val="en-CO" w:eastAsia="en-US"/>
          <w14:ligatures w14:val="standardContextual"/>
        </w:rPr>
      </w:pPr>
      <w:hyperlink w:anchor="_Toc233199120" w:history="1">
        <w:r w:rsidRPr="00911FF9">
          <w:rPr>
            <w:rStyle w:val="Hyperlink"/>
            <w:noProof/>
          </w:rPr>
          <w:t>Tabla 2</w:t>
        </w:r>
        <w:r>
          <w:rPr>
            <w:rFonts w:eastAsiaTheme="minorEastAsia" w:cstheme="minorBidi"/>
            <w:noProof/>
            <w:kern w:val="2"/>
            <w:sz w:val="24"/>
            <w:szCs w:val="24"/>
            <w:lang w:val="en-CO" w:eastAsia="en-US"/>
            <w14:ligatures w14:val="standardContextual"/>
          </w:rPr>
          <w:tab/>
        </w:r>
        <w:r w:rsidRPr="00911FF9">
          <w:rPr>
            <w:rStyle w:val="Hyperlink"/>
            <w:noProof/>
          </w:rPr>
          <w:t>Comparativa de modelos multilingües candidatos para la adaptación al par Inga-Español</w:t>
        </w:r>
        <w:r>
          <w:rPr>
            <w:noProof/>
            <w:webHidden/>
          </w:rPr>
          <w:tab/>
        </w:r>
        <w:r>
          <w:rPr>
            <w:noProof/>
            <w:webHidden/>
          </w:rPr>
          <w:fldChar w:fldCharType="begin"/>
        </w:r>
        <w:r>
          <w:rPr>
            <w:noProof/>
            <w:webHidden/>
          </w:rPr>
          <w:instrText xml:space="preserve"> PAGEREF _Toc233199120 \h </w:instrText>
        </w:r>
        <w:r>
          <w:rPr>
            <w:noProof/>
            <w:webHidden/>
          </w:rPr>
        </w:r>
        <w:r>
          <w:rPr>
            <w:noProof/>
            <w:webHidden/>
          </w:rPr>
          <w:fldChar w:fldCharType="separate"/>
        </w:r>
        <w:r>
          <w:rPr>
            <w:noProof/>
            <w:webHidden/>
          </w:rPr>
          <w:t>31</w:t>
        </w:r>
        <w:r>
          <w:rPr>
            <w:noProof/>
            <w:webHidden/>
          </w:rPr>
          <w:fldChar w:fldCharType="end"/>
        </w:r>
      </w:hyperlink>
    </w:p>
    <w:p w14:paraId="3281AC3C" w14:textId="5F2BAAB7"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1" w:history="1">
        <w:r w:rsidRPr="00911FF9">
          <w:rPr>
            <w:rStyle w:val="Hyperlink"/>
            <w:noProof/>
          </w:rPr>
          <w:t>Tabla 3  Infraestructura de cómputo del proyecto</w:t>
        </w:r>
        <w:r>
          <w:rPr>
            <w:noProof/>
            <w:webHidden/>
          </w:rPr>
          <w:tab/>
        </w:r>
        <w:r>
          <w:rPr>
            <w:noProof/>
            <w:webHidden/>
          </w:rPr>
          <w:fldChar w:fldCharType="begin"/>
        </w:r>
        <w:r>
          <w:rPr>
            <w:noProof/>
            <w:webHidden/>
          </w:rPr>
          <w:instrText xml:space="preserve"> PAGEREF _Toc233199121 \h </w:instrText>
        </w:r>
        <w:r>
          <w:rPr>
            <w:noProof/>
            <w:webHidden/>
          </w:rPr>
        </w:r>
        <w:r>
          <w:rPr>
            <w:noProof/>
            <w:webHidden/>
          </w:rPr>
          <w:fldChar w:fldCharType="separate"/>
        </w:r>
        <w:r>
          <w:rPr>
            <w:noProof/>
            <w:webHidden/>
          </w:rPr>
          <w:t>39</w:t>
        </w:r>
        <w:r>
          <w:rPr>
            <w:noProof/>
            <w:webHidden/>
          </w:rPr>
          <w:fldChar w:fldCharType="end"/>
        </w:r>
      </w:hyperlink>
    </w:p>
    <w:p w14:paraId="33B95031" w14:textId="3F369FF8"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2" w:history="1">
        <w:r w:rsidRPr="00911FF9">
          <w:rPr>
            <w:rStyle w:val="Hyperlink"/>
            <w:noProof/>
          </w:rPr>
          <w:t>Tabla 4  Configuraciones experimentales a evaluar en la Fase 6 del proyecto</w:t>
        </w:r>
        <w:r>
          <w:rPr>
            <w:noProof/>
            <w:webHidden/>
          </w:rPr>
          <w:tab/>
        </w:r>
        <w:r>
          <w:rPr>
            <w:noProof/>
            <w:webHidden/>
          </w:rPr>
          <w:fldChar w:fldCharType="begin"/>
        </w:r>
        <w:r>
          <w:rPr>
            <w:noProof/>
            <w:webHidden/>
          </w:rPr>
          <w:instrText xml:space="preserve"> PAGEREF _Toc233199122 \h </w:instrText>
        </w:r>
        <w:r>
          <w:rPr>
            <w:noProof/>
            <w:webHidden/>
          </w:rPr>
        </w:r>
        <w:r>
          <w:rPr>
            <w:noProof/>
            <w:webHidden/>
          </w:rPr>
          <w:fldChar w:fldCharType="separate"/>
        </w:r>
        <w:r>
          <w:rPr>
            <w:noProof/>
            <w:webHidden/>
          </w:rPr>
          <w:t>40</w:t>
        </w:r>
        <w:r>
          <w:rPr>
            <w:noProof/>
            <w:webHidden/>
          </w:rPr>
          <w:fldChar w:fldCharType="end"/>
        </w:r>
      </w:hyperlink>
    </w:p>
    <w:p w14:paraId="67462BD5" w14:textId="7F94EAAC"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3" w:history="1">
        <w:r w:rsidRPr="00911FF9">
          <w:rPr>
            <w:rStyle w:val="Hyperlink"/>
            <w:noProof/>
          </w:rPr>
          <w:t>Tabla 5 Inventario de recursos lingüísticos primarios utilizados en la construcción del corpus</w:t>
        </w:r>
        <w:r>
          <w:rPr>
            <w:noProof/>
            <w:webHidden/>
          </w:rPr>
          <w:tab/>
        </w:r>
        <w:r>
          <w:rPr>
            <w:noProof/>
            <w:webHidden/>
          </w:rPr>
          <w:fldChar w:fldCharType="begin"/>
        </w:r>
        <w:r>
          <w:rPr>
            <w:noProof/>
            <w:webHidden/>
          </w:rPr>
          <w:instrText xml:space="preserve"> PAGEREF _Toc233199123 \h </w:instrText>
        </w:r>
        <w:r>
          <w:rPr>
            <w:noProof/>
            <w:webHidden/>
          </w:rPr>
        </w:r>
        <w:r>
          <w:rPr>
            <w:noProof/>
            <w:webHidden/>
          </w:rPr>
          <w:fldChar w:fldCharType="separate"/>
        </w:r>
        <w:r>
          <w:rPr>
            <w:noProof/>
            <w:webHidden/>
          </w:rPr>
          <w:t>42</w:t>
        </w:r>
        <w:r>
          <w:rPr>
            <w:noProof/>
            <w:webHidden/>
          </w:rPr>
          <w:fldChar w:fldCharType="end"/>
        </w:r>
      </w:hyperlink>
    </w:p>
    <w:p w14:paraId="0A0C87E3" w14:textId="6D31EF64"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4" w:history="1">
        <w:r w:rsidRPr="00911FF9">
          <w:rPr>
            <w:rStyle w:val="Hyperlink"/>
            <w:noProof/>
          </w:rPr>
          <w:t>Tabla 6 Distribución del corpus paralelo train/val/test por dialecto</w:t>
        </w:r>
        <w:r>
          <w:rPr>
            <w:noProof/>
            <w:webHidden/>
          </w:rPr>
          <w:tab/>
        </w:r>
        <w:r>
          <w:rPr>
            <w:noProof/>
            <w:webHidden/>
          </w:rPr>
          <w:fldChar w:fldCharType="begin"/>
        </w:r>
        <w:r>
          <w:rPr>
            <w:noProof/>
            <w:webHidden/>
          </w:rPr>
          <w:instrText xml:space="preserve"> PAGEREF _Toc233199124 \h </w:instrText>
        </w:r>
        <w:r>
          <w:rPr>
            <w:noProof/>
            <w:webHidden/>
          </w:rPr>
        </w:r>
        <w:r>
          <w:rPr>
            <w:noProof/>
            <w:webHidden/>
          </w:rPr>
          <w:fldChar w:fldCharType="separate"/>
        </w:r>
        <w:r>
          <w:rPr>
            <w:noProof/>
            <w:webHidden/>
          </w:rPr>
          <w:t>47</w:t>
        </w:r>
        <w:r>
          <w:rPr>
            <w:noProof/>
            <w:webHidden/>
          </w:rPr>
          <w:fldChar w:fldCharType="end"/>
        </w:r>
      </w:hyperlink>
    </w:p>
    <w:p w14:paraId="1DC5CC75" w14:textId="037E670F"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5" w:history="1">
        <w:r w:rsidRPr="00911FF9">
          <w:rPr>
            <w:rStyle w:val="Hyperlink"/>
            <w:noProof/>
          </w:rPr>
          <w:t>Tabla 7  Hiperparámetros del entrenamiento LoRA</w:t>
        </w:r>
        <w:r>
          <w:rPr>
            <w:noProof/>
            <w:webHidden/>
          </w:rPr>
          <w:tab/>
        </w:r>
        <w:r>
          <w:rPr>
            <w:noProof/>
            <w:webHidden/>
          </w:rPr>
          <w:fldChar w:fldCharType="begin"/>
        </w:r>
        <w:r>
          <w:rPr>
            <w:noProof/>
            <w:webHidden/>
          </w:rPr>
          <w:instrText xml:space="preserve"> PAGEREF _Toc233199125 \h </w:instrText>
        </w:r>
        <w:r>
          <w:rPr>
            <w:noProof/>
            <w:webHidden/>
          </w:rPr>
        </w:r>
        <w:r>
          <w:rPr>
            <w:noProof/>
            <w:webHidden/>
          </w:rPr>
          <w:fldChar w:fldCharType="separate"/>
        </w:r>
        <w:r>
          <w:rPr>
            <w:noProof/>
            <w:webHidden/>
          </w:rPr>
          <w:t>51</w:t>
        </w:r>
        <w:r>
          <w:rPr>
            <w:noProof/>
            <w:webHidden/>
          </w:rPr>
          <w:fldChar w:fldCharType="end"/>
        </w:r>
      </w:hyperlink>
    </w:p>
    <w:p w14:paraId="484178CC" w14:textId="1304A58E" w:rsidR="005E4874" w:rsidRDefault="005E4874">
      <w:pPr>
        <w:pStyle w:val="TableofFigures"/>
        <w:tabs>
          <w:tab w:val="left" w:pos="960"/>
          <w:tab w:val="right" w:leader="dot" w:pos="9061"/>
        </w:tabs>
        <w:rPr>
          <w:rFonts w:eastAsiaTheme="minorEastAsia" w:cstheme="minorBidi"/>
          <w:noProof/>
          <w:kern w:val="2"/>
          <w:sz w:val="24"/>
          <w:szCs w:val="24"/>
          <w:lang w:val="en-CO" w:eastAsia="en-US"/>
          <w14:ligatures w14:val="standardContextual"/>
        </w:rPr>
      </w:pPr>
      <w:hyperlink w:anchor="_Toc233199126" w:history="1">
        <w:r w:rsidRPr="00911FF9">
          <w:rPr>
            <w:rStyle w:val="Hyperlink"/>
            <w:noProof/>
          </w:rPr>
          <w:t>Tabla 8</w:t>
        </w:r>
        <w:r>
          <w:rPr>
            <w:rFonts w:eastAsiaTheme="minorEastAsia" w:cstheme="minorBidi"/>
            <w:noProof/>
            <w:kern w:val="2"/>
            <w:sz w:val="24"/>
            <w:szCs w:val="24"/>
            <w:lang w:val="en-CO" w:eastAsia="en-US"/>
            <w14:ligatures w14:val="standardContextual"/>
          </w:rPr>
          <w:tab/>
        </w:r>
        <w:r w:rsidRPr="00911FF9">
          <w:rPr>
            <w:rStyle w:val="Hyperlink"/>
            <w:noProof/>
          </w:rPr>
          <w:t>Métricas BLEU, chrF++ y BERTScore por configuración y dirección sobre 100 ejemplos del val set</w:t>
        </w:r>
        <w:r>
          <w:rPr>
            <w:noProof/>
            <w:webHidden/>
          </w:rPr>
          <w:tab/>
        </w:r>
        <w:r>
          <w:rPr>
            <w:noProof/>
            <w:webHidden/>
          </w:rPr>
          <w:fldChar w:fldCharType="begin"/>
        </w:r>
        <w:r>
          <w:rPr>
            <w:noProof/>
            <w:webHidden/>
          </w:rPr>
          <w:instrText xml:space="preserve"> PAGEREF _Toc233199126 \h </w:instrText>
        </w:r>
        <w:r>
          <w:rPr>
            <w:noProof/>
            <w:webHidden/>
          </w:rPr>
        </w:r>
        <w:r>
          <w:rPr>
            <w:noProof/>
            <w:webHidden/>
          </w:rPr>
          <w:fldChar w:fldCharType="separate"/>
        </w:r>
        <w:r>
          <w:rPr>
            <w:noProof/>
            <w:webHidden/>
          </w:rPr>
          <w:t>57</w:t>
        </w:r>
        <w:r>
          <w:rPr>
            <w:noProof/>
            <w:webHidden/>
          </w:rPr>
          <w:fldChar w:fldCharType="end"/>
        </w:r>
      </w:hyperlink>
    </w:p>
    <w:p w14:paraId="12C41137" w14:textId="795C50C4"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7" w:history="1">
        <w:r w:rsidRPr="00911FF9">
          <w:rPr>
            <w:rStyle w:val="Hyperlink"/>
            <w:noProof/>
          </w:rPr>
          <w:t>Tabla 9  Comparación intra-Claude (Sonnet 4.6 frente a Opus 4.7) sobre el mismo conjunto de validación, métricas BLEU</w:t>
        </w:r>
        <w:r>
          <w:rPr>
            <w:noProof/>
            <w:webHidden/>
          </w:rPr>
          <w:tab/>
        </w:r>
        <w:r>
          <w:rPr>
            <w:noProof/>
            <w:webHidden/>
          </w:rPr>
          <w:fldChar w:fldCharType="begin"/>
        </w:r>
        <w:r>
          <w:rPr>
            <w:noProof/>
            <w:webHidden/>
          </w:rPr>
          <w:instrText xml:space="preserve"> PAGEREF _Toc233199127 \h </w:instrText>
        </w:r>
        <w:r>
          <w:rPr>
            <w:noProof/>
            <w:webHidden/>
          </w:rPr>
        </w:r>
        <w:r>
          <w:rPr>
            <w:noProof/>
            <w:webHidden/>
          </w:rPr>
          <w:fldChar w:fldCharType="separate"/>
        </w:r>
        <w:r>
          <w:rPr>
            <w:noProof/>
            <w:webHidden/>
          </w:rPr>
          <w:t>59</w:t>
        </w:r>
        <w:r>
          <w:rPr>
            <w:noProof/>
            <w:webHidden/>
          </w:rPr>
          <w:fldChar w:fldCharType="end"/>
        </w:r>
      </w:hyperlink>
    </w:p>
    <w:p w14:paraId="06D51C10" w14:textId="629BEC2B"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8" w:history="1">
        <w:r w:rsidRPr="00911FF9">
          <w:rPr>
            <w:rStyle w:val="Hyperlink"/>
            <w:noProof/>
          </w:rPr>
          <w:t>Tabla 10  Ejemplos de traducción por configuración y dirección sobre el conjunto de validación</w:t>
        </w:r>
        <w:r>
          <w:rPr>
            <w:noProof/>
            <w:webHidden/>
          </w:rPr>
          <w:tab/>
        </w:r>
        <w:r>
          <w:rPr>
            <w:noProof/>
            <w:webHidden/>
          </w:rPr>
          <w:fldChar w:fldCharType="begin"/>
        </w:r>
        <w:r>
          <w:rPr>
            <w:noProof/>
            <w:webHidden/>
          </w:rPr>
          <w:instrText xml:space="preserve"> PAGEREF _Toc233199128 \h </w:instrText>
        </w:r>
        <w:r>
          <w:rPr>
            <w:noProof/>
            <w:webHidden/>
          </w:rPr>
        </w:r>
        <w:r>
          <w:rPr>
            <w:noProof/>
            <w:webHidden/>
          </w:rPr>
          <w:fldChar w:fldCharType="separate"/>
        </w:r>
        <w:r>
          <w:rPr>
            <w:noProof/>
            <w:webHidden/>
          </w:rPr>
          <w:t>63</w:t>
        </w:r>
        <w:r>
          <w:rPr>
            <w:noProof/>
            <w:webHidden/>
          </w:rPr>
          <w:fldChar w:fldCharType="end"/>
        </w:r>
      </w:hyperlink>
    </w:p>
    <w:p w14:paraId="38A24451" w14:textId="6FF8BCDA" w:rsidR="005E4874" w:rsidRDefault="005E4874">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3199129" w:history="1">
        <w:r w:rsidRPr="00911FF9">
          <w:rPr>
            <w:rStyle w:val="Hyperlink"/>
            <w:noProof/>
          </w:rPr>
          <w:t>Tabla 11  Recuento de errores por tipo y configuración sobre los 100 ejemplos del conjunto de validación</w:t>
        </w:r>
        <w:r>
          <w:rPr>
            <w:noProof/>
            <w:webHidden/>
          </w:rPr>
          <w:tab/>
        </w:r>
        <w:r>
          <w:rPr>
            <w:noProof/>
            <w:webHidden/>
          </w:rPr>
          <w:fldChar w:fldCharType="begin"/>
        </w:r>
        <w:r>
          <w:rPr>
            <w:noProof/>
            <w:webHidden/>
          </w:rPr>
          <w:instrText xml:space="preserve"> PAGEREF _Toc233199129 \h </w:instrText>
        </w:r>
        <w:r>
          <w:rPr>
            <w:noProof/>
            <w:webHidden/>
          </w:rPr>
        </w:r>
        <w:r>
          <w:rPr>
            <w:noProof/>
            <w:webHidden/>
          </w:rPr>
          <w:fldChar w:fldCharType="separate"/>
        </w:r>
        <w:r>
          <w:rPr>
            <w:noProof/>
            <w:webHidden/>
          </w:rPr>
          <w:t>66</w:t>
        </w:r>
        <w:r>
          <w:rPr>
            <w:noProof/>
            <w:webHidden/>
          </w:rPr>
          <w:fldChar w:fldCharType="end"/>
        </w:r>
      </w:hyperlink>
    </w:p>
    <w:p w14:paraId="6EB0383F" w14:textId="44239B3C" w:rsidR="00E47690" w:rsidRPr="00C43711" w:rsidRDefault="00E47690" w:rsidP="00103BEF">
      <w:pPr>
        <w:rPr>
          <w:lang w:val="es-CO"/>
        </w:rPr>
      </w:pPr>
      <w:r>
        <w:rPr>
          <w:lang w:val="es-CO"/>
        </w:rPr>
        <w:fldChar w:fldCharType="end"/>
      </w:r>
    </w:p>
    <w:p w14:paraId="796AB5D4" w14:textId="77777777" w:rsidR="00636E09" w:rsidRDefault="00226D26">
      <w:pPr>
        <w:pStyle w:val="Ttulondices"/>
        <w:pageBreakBefore/>
      </w:pPr>
      <w:r>
        <w:lastRenderedPageBreak/>
        <w:t>Organización del trabajo en grupo</w:t>
      </w:r>
    </w:p>
    <w:p w14:paraId="0DCE8A44" w14:textId="77777777" w:rsidR="00636E09" w:rsidRDefault="00226D26">
      <w:pPr>
        <w:pStyle w:val="Ttulondices"/>
      </w:pPr>
      <w:r>
        <w:t>Partes que aborda el TFE</w:t>
      </w:r>
    </w:p>
    <w:p w14:paraId="479B1D1B" w14:textId="77777777" w:rsidR="00636E09" w:rsidRDefault="00226D26">
      <w:r>
        <w:t>El presente Trabajo Fin de Máster se desarrolla en modalidad grupal por dos estudiantes y aborda dos contribuciones técnicas autocontenidas que, de forma individual, podrían constituir un trabajo de investigación independiente, además de un componente de infraestructura compartida. Esta partición responde al requisito de la Universidad de que cada integrante realice un aporte técnico suficiente para la obtención del título, tal como se establece en la plantilla oficial para trabajos grupales.</w:t>
      </w:r>
    </w:p>
    <w:p w14:paraId="24B87CD0" w14:textId="77777777" w:rsidR="00636E09" w:rsidRDefault="00226D26">
      <w:r>
        <w:t xml:space="preserve">La primera contribución, a cargo de </w:t>
      </w:r>
      <w:r>
        <w:rPr>
          <w:b/>
        </w:rPr>
        <w:t>William Santos</w:t>
      </w:r>
      <w:r>
        <w:t xml:space="preserve">, consiste en la adaptación de un modelo de traducción automática multilingüe </w:t>
      </w:r>
      <w:proofErr w:type="spellStart"/>
      <w:r>
        <w:t>preentrenado</w:t>
      </w:r>
      <w:proofErr w:type="spellEnd"/>
      <w:r>
        <w:t xml:space="preserve"> al par lingüístico Inga-</w:t>
      </w:r>
      <w:proofErr w:type="gramStart"/>
      <w:r>
        <w:t>Español</w:t>
      </w:r>
      <w:proofErr w:type="gramEnd"/>
      <w:r>
        <w:t xml:space="preserve"> mediante técnicas de ajuste fino eficiente en parámetros, aprovechando el conocimiento de lenguas quechuas emparentadas que el modelo ya incorpora como base para la transferencia </w:t>
      </w:r>
      <w:proofErr w:type="spellStart"/>
      <w:r>
        <w:t>cross</w:t>
      </w:r>
      <w:proofErr w:type="spellEnd"/>
      <w:r>
        <w:t xml:space="preserve">-lingual. Este componente incluye además la curación del corpus </w:t>
      </w:r>
      <w:proofErr w:type="spellStart"/>
      <w:r>
        <w:t>bidialectal</w:t>
      </w:r>
      <w:proofErr w:type="spellEnd"/>
      <w:r>
        <w:t>, Alto Putumayo y Medio Putumayo, labor que se nutre del acceso comunitario del integrante a hablantes nativos en Mocoa, así como la validación lingüística de las salidas del sistema.</w:t>
      </w:r>
    </w:p>
    <w:p w14:paraId="5498EF88" w14:textId="77777777" w:rsidR="00636E09" w:rsidRDefault="00226D26">
      <w:r>
        <w:t xml:space="preserve">La segunda contribución, a cargo de </w:t>
      </w:r>
      <w:r>
        <w:rPr>
          <w:b/>
        </w:rPr>
        <w:t>Daniel Eslava</w:t>
      </w:r>
      <w:r>
        <w:t>, consiste en el diseño e implementación de un sistema de traducción basado en un modelo de lenguaje de frontera potenciado con recuperación aumentada de información. El sistema utiliza una base de conocimiento lingüístico del Inga estructurada en tres índices independientes, léxico, gramatical y de ejemplos paralelos, que se consultan dinámicamente durante la inferencia. Este componente incluye adicionalmente el diseño del marco de evaluación comparativa entre ambas aproximaciones, así como la orquestación del pipeline completo de inferencia.</w:t>
      </w:r>
    </w:p>
    <w:p w14:paraId="0A2A288C" w14:textId="77777777" w:rsidR="00636E09" w:rsidRDefault="00226D26">
      <w:r>
        <w:t>La infraestructura compartida entre ambos integrantes comprende la construcción y curación del corpus paralelo, la normalización ortográfica, la validación con hablantes nativos y el análisis de resultados en la fase de evaluación final.</w:t>
      </w:r>
    </w:p>
    <w:p w14:paraId="0E624B2B" w14:textId="77777777" w:rsidR="00636E09" w:rsidRDefault="00226D26">
      <w:pPr>
        <w:pStyle w:val="Ttulondices"/>
      </w:pPr>
      <w:r>
        <w:t>Distribución y estructura de la memoria</w:t>
      </w:r>
    </w:p>
    <w:p w14:paraId="6BEA6EF6" w14:textId="77777777" w:rsidR="00C43711" w:rsidRDefault="00226D26" w:rsidP="00C43711">
      <w:r>
        <w:lastRenderedPageBreak/>
        <w:t>La estructura de responsabilidades para la redacción de la memoria se detalla en la Tabla 1.</w:t>
      </w:r>
    </w:p>
    <w:p w14:paraId="1BAFB201" w14:textId="4E508EF1" w:rsidR="00C43711" w:rsidRDefault="00C43711" w:rsidP="00C43711">
      <w:pPr>
        <w:pStyle w:val="Caption"/>
        <w:keepNext/>
      </w:pPr>
      <w:bookmarkStart w:id="0" w:name="_Toc230952642"/>
      <w:bookmarkStart w:id="1" w:name="_Toc233199119"/>
      <w:r>
        <w:t xml:space="preserve">Tabla </w:t>
      </w:r>
      <w:fldSimple w:instr=" SEQ Tabla \* ARABIC ">
        <w:r w:rsidR="0059770D">
          <w:rPr>
            <w:noProof/>
          </w:rPr>
          <w:t>1</w:t>
        </w:r>
      </w:fldSimple>
      <w:r>
        <w:t xml:space="preserve"> </w:t>
      </w:r>
      <w:r w:rsidRPr="00365778">
        <w:t>Organización del trabajo en grupo en la redacción de la memoria</w:t>
      </w:r>
      <w:bookmarkEnd w:id="0"/>
      <w:bookmarkEnd w:id="1"/>
    </w:p>
    <w:tbl>
      <w:tblPr>
        <w:tblStyle w:val="GridTable4-Accent1"/>
        <w:tblW w:w="0" w:type="auto"/>
        <w:tblLook w:val="04A0" w:firstRow="1" w:lastRow="0" w:firstColumn="1" w:lastColumn="0" w:noHBand="0" w:noVBand="1"/>
      </w:tblPr>
      <w:tblGrid>
        <w:gridCol w:w="3965"/>
        <w:gridCol w:w="5096"/>
      </w:tblGrid>
      <w:tr w:rsidR="00636E09" w14:paraId="1FF67C81" w14:textId="77777777" w:rsidTr="00A61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E4C93B9" w14:textId="77777777" w:rsidR="00636E09" w:rsidRDefault="00226D26">
            <w:r>
              <w:t>Apartado de la memoria</w:t>
            </w:r>
          </w:p>
        </w:tc>
        <w:tc>
          <w:tcPr>
            <w:tcW w:w="5102" w:type="dxa"/>
          </w:tcPr>
          <w:p w14:paraId="1ACC055D" w14:textId="77777777" w:rsidR="00636E09" w:rsidRDefault="00226D26">
            <w:pPr>
              <w:cnfStyle w:val="100000000000" w:firstRow="1" w:lastRow="0" w:firstColumn="0" w:lastColumn="0" w:oddVBand="0" w:evenVBand="0" w:oddHBand="0" w:evenHBand="0" w:firstRowFirstColumn="0" w:firstRowLastColumn="0" w:lastRowFirstColumn="0" w:lastRowLastColumn="0"/>
            </w:pPr>
            <w:r>
              <w:t>Responsables</w:t>
            </w:r>
          </w:p>
        </w:tc>
      </w:tr>
      <w:tr w:rsidR="00636E09" w:rsidRPr="005E4874" w14:paraId="62D54F36"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E1331C9" w14:textId="77777777" w:rsidR="00636E09" w:rsidRDefault="00226D26">
            <w:r>
              <w:t>Introducción</w:t>
            </w:r>
          </w:p>
        </w:tc>
        <w:tc>
          <w:tcPr>
            <w:tcW w:w="5102" w:type="dxa"/>
          </w:tcPr>
          <w:p w14:paraId="5169CC74"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14:paraId="371463C8"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2C4CB8FD" w14:textId="77777777" w:rsidR="00636E09" w:rsidRDefault="00226D26">
            <w:r>
              <w:t>Contexto y estado del arte</w:t>
            </w:r>
          </w:p>
        </w:tc>
        <w:tc>
          <w:tcPr>
            <w:tcW w:w="5102" w:type="dxa"/>
          </w:tcPr>
          <w:p w14:paraId="16618ABE" w14:textId="77777777" w:rsidR="00636E09" w:rsidRDefault="00226D26">
            <w:pPr>
              <w:cnfStyle w:val="000000000000" w:firstRow="0" w:lastRow="0" w:firstColumn="0" w:lastColumn="0" w:oddVBand="0" w:evenVBand="0" w:oddHBand="0" w:evenHBand="0" w:firstRowFirstColumn="0" w:firstRowLastColumn="0" w:lastRowFirstColumn="0" w:lastRowLastColumn="0"/>
            </w:pPr>
            <w:r>
              <w:t>William Santos (NMT y ajuste fino eficiente), Daniel Eslava (</w:t>
            </w:r>
            <w:proofErr w:type="spellStart"/>
            <w:r>
              <w:t>LLMs</w:t>
            </w:r>
            <w:proofErr w:type="spellEnd"/>
            <w:r>
              <w:t xml:space="preserve"> y RAG)</w:t>
            </w:r>
          </w:p>
        </w:tc>
      </w:tr>
      <w:tr w:rsidR="00636E09" w:rsidRPr="005E4874" w14:paraId="230FBDB0"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444B172" w14:textId="77777777" w:rsidR="00636E09" w:rsidRDefault="00226D26">
            <w:r>
              <w:t>Objetivos y metodología de trabajo</w:t>
            </w:r>
          </w:p>
        </w:tc>
        <w:tc>
          <w:tcPr>
            <w:tcW w:w="5102" w:type="dxa"/>
          </w:tcPr>
          <w:p w14:paraId="7A582852"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14:paraId="601BDE9C"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2DECD1FE" w14:textId="77777777" w:rsidR="00636E09" w:rsidRDefault="00226D26">
            <w:r>
              <w:t>Marco normativo</w:t>
            </w:r>
          </w:p>
        </w:tc>
        <w:tc>
          <w:tcPr>
            <w:tcW w:w="5102" w:type="dxa"/>
          </w:tcPr>
          <w:p w14:paraId="7140DAEE" w14:textId="77777777" w:rsidR="00636E09" w:rsidRDefault="00226D26">
            <w:pPr>
              <w:cnfStyle w:val="000000000000" w:firstRow="0" w:lastRow="0" w:firstColumn="0" w:lastColumn="0" w:oddVBand="0" w:evenVBand="0" w:oddHBand="0" w:evenHBand="0" w:firstRowFirstColumn="0" w:firstRowLastColumn="0" w:lastRowFirstColumn="0" w:lastRowLastColumn="0"/>
            </w:pPr>
            <w:r>
              <w:t>William Santos (aspectos comunitarios), Daniel Eslava (licenciamiento)</w:t>
            </w:r>
          </w:p>
        </w:tc>
      </w:tr>
      <w:tr w:rsidR="00636E09" w14:paraId="1741EA16"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837F425" w14:textId="77777777" w:rsidR="00636E09" w:rsidRDefault="00226D26">
            <w:r>
              <w:t>Desarrollo, adaptación del modelo multilingüe</w:t>
            </w:r>
          </w:p>
        </w:tc>
        <w:tc>
          <w:tcPr>
            <w:tcW w:w="5102" w:type="dxa"/>
          </w:tcPr>
          <w:p w14:paraId="059DF162" w14:textId="77777777" w:rsidR="00636E09" w:rsidRDefault="00226D26">
            <w:pPr>
              <w:cnfStyle w:val="000000100000" w:firstRow="0" w:lastRow="0" w:firstColumn="0" w:lastColumn="0" w:oddVBand="0" w:evenVBand="0" w:oddHBand="1" w:evenHBand="0" w:firstRowFirstColumn="0" w:firstRowLastColumn="0" w:lastRowFirstColumn="0" w:lastRowLastColumn="0"/>
            </w:pPr>
            <w:r>
              <w:t>William Santos</w:t>
            </w:r>
          </w:p>
        </w:tc>
      </w:tr>
      <w:tr w:rsidR="00636E09" w14:paraId="16A97BC6"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56BE0B48" w14:textId="77777777" w:rsidR="00636E09" w:rsidRDefault="00226D26">
            <w:r>
              <w:t>Desarrollo, pipeline LLM con recuperación aumentada</w:t>
            </w:r>
          </w:p>
        </w:tc>
        <w:tc>
          <w:tcPr>
            <w:tcW w:w="5102" w:type="dxa"/>
          </w:tcPr>
          <w:p w14:paraId="53C3B953" w14:textId="77777777" w:rsidR="00636E09" w:rsidRDefault="00226D26">
            <w:pPr>
              <w:cnfStyle w:val="000000000000" w:firstRow="0" w:lastRow="0" w:firstColumn="0" w:lastColumn="0" w:oddVBand="0" w:evenVBand="0" w:oddHBand="0" w:evenHBand="0" w:firstRowFirstColumn="0" w:firstRowLastColumn="0" w:lastRowFirstColumn="0" w:lastRowLastColumn="0"/>
            </w:pPr>
            <w:r>
              <w:t>Daniel Eslava</w:t>
            </w:r>
          </w:p>
        </w:tc>
      </w:tr>
      <w:tr w:rsidR="00636E09" w:rsidRPr="005E4874" w14:paraId="383BADD8"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EFE0D81" w14:textId="77777777" w:rsidR="00636E09" w:rsidRDefault="00226D26">
            <w:r>
              <w:t>Desarrollo, corpus e infraestructura experimental</w:t>
            </w:r>
          </w:p>
        </w:tc>
        <w:tc>
          <w:tcPr>
            <w:tcW w:w="5102" w:type="dxa"/>
          </w:tcPr>
          <w:p w14:paraId="7358FF01"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rsidRPr="005E4874" w14:paraId="3D4EF24D"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64890145" w14:textId="77777777" w:rsidR="00636E09" w:rsidRDefault="00226D26">
            <w:r>
              <w:t>Conclusiones</w:t>
            </w:r>
          </w:p>
        </w:tc>
        <w:tc>
          <w:tcPr>
            <w:tcW w:w="5102" w:type="dxa"/>
          </w:tcPr>
          <w:p w14:paraId="7702B10B" w14:textId="77777777" w:rsidR="00636E09" w:rsidRPr="00A616E4" w:rsidRDefault="00226D26">
            <w:pPr>
              <w:cnfStyle w:val="000000000000" w:firstRow="0" w:lastRow="0" w:firstColumn="0" w:lastColumn="0" w:oddVBand="0" w:evenVBand="0" w:oddHBand="0" w:evenHBand="0" w:firstRowFirstColumn="0" w:firstRowLastColumn="0" w:lastRowFirstColumn="0" w:lastRowLastColumn="0"/>
              <w:rPr>
                <w:lang w:val="en-US"/>
              </w:rPr>
            </w:pPr>
            <w:r w:rsidRPr="00A616E4">
              <w:rPr>
                <w:lang w:val="en-US"/>
              </w:rPr>
              <w:t>William Santos y Daniel Eslava</w:t>
            </w:r>
          </w:p>
        </w:tc>
      </w:tr>
    </w:tbl>
    <w:p w14:paraId="18B23ED4" w14:textId="77777777" w:rsidR="00636E09" w:rsidRPr="00A616E4" w:rsidRDefault="00226D26">
      <w:pPr>
        <w:pStyle w:val="Piedefoto-tabla"/>
        <w:jc w:val="both"/>
        <w:rPr>
          <w:lang w:val="es-CO"/>
        </w:rPr>
      </w:pPr>
      <w:r w:rsidRPr="00A616E4">
        <w:rPr>
          <w:i/>
          <w:lang w:val="es-CO"/>
        </w:rPr>
        <w:t xml:space="preserve">Nota. </w:t>
      </w:r>
      <w:r w:rsidRPr="00A616E4">
        <w:rPr>
          <w:lang w:val="es-CO"/>
        </w:rPr>
        <w:t>Elaboración propia.</w:t>
      </w:r>
    </w:p>
    <w:p w14:paraId="0921101A" w14:textId="77777777" w:rsidR="00636E09" w:rsidRDefault="00226D26">
      <w:pPr>
        <w:pStyle w:val="Ttulondices"/>
      </w:pPr>
      <w:r>
        <w:t>Mecanismos de coordinación empleados</w:t>
      </w:r>
    </w:p>
    <w:p w14:paraId="54737B0E" w14:textId="77777777" w:rsidR="00636E09" w:rsidRDefault="00226D26">
      <w:r>
        <w:t>El trabajo remoto entre los dos integrantes, ubicados en Mocoa (Putumayo) y Cali (Valle del Cauca), exige mecanismos de coordinación formales que aseguren la trazabilidad de las decisiones técnicas y la consistencia de los entregables. Para ello se adoptan los siguientes instrumentos.</w:t>
      </w:r>
    </w:p>
    <w:p w14:paraId="6D44981B" w14:textId="77777777" w:rsidR="00636E09" w:rsidRDefault="00226D26">
      <w:r>
        <w:lastRenderedPageBreak/>
        <w:t xml:space="preserve">En primer lugar, se establece un repositorio compartido en la plataforma GitHub para el código fuente, los </w:t>
      </w:r>
      <w:r>
        <w:rPr>
          <w:i/>
        </w:rPr>
        <w:t>notebooks</w:t>
      </w:r>
      <w:r>
        <w:t xml:space="preserve"> de experimentación y la documentación del proyecto, con control de versiones distribuido y revisión cruzada de las contribuciones mediante </w:t>
      </w:r>
      <w:proofErr w:type="spellStart"/>
      <w:r>
        <w:rPr>
          <w:i/>
        </w:rPr>
        <w:t>pull</w:t>
      </w:r>
      <w:proofErr w:type="spellEnd"/>
      <w:r>
        <w:rPr>
          <w:i/>
        </w:rPr>
        <w:t xml:space="preserve"> </w:t>
      </w:r>
      <w:proofErr w:type="spellStart"/>
      <w:r>
        <w:rPr>
          <w:i/>
        </w:rPr>
        <w:t>requests</w:t>
      </w:r>
      <w:proofErr w:type="spellEnd"/>
      <w:r>
        <w:t xml:space="preserve"> antes de su integración a la rama principal. En segundo lugar, se utiliza GitHub </w:t>
      </w:r>
      <w:proofErr w:type="spellStart"/>
      <w:r>
        <w:t>Projects</w:t>
      </w:r>
      <w:proofErr w:type="spellEnd"/>
      <w:r>
        <w:t xml:space="preserve"> para la gestión de tareas operativas, con tableros que reflejan las siete fases del proyecto descritas en el Capítulo 3. En tercer lugar, se planifican reuniones síncronas semanales por videoconferencia para revisión de avances, toma de decisiones arquitecturales y resolución de bloqueos; cada reunión produce un acta breve que se archiva en el repositorio. En cuarto lugar, se emplea un gestor bibliográfico compartido (Zotero) que mantiene sincronizadas las referencias verificadas del proyecto, con identificadores estables (DOI, </w:t>
      </w:r>
      <w:proofErr w:type="spellStart"/>
      <w:r>
        <w:t>arXiv</w:t>
      </w:r>
      <w:proofErr w:type="spellEnd"/>
      <w:r>
        <w:t xml:space="preserve">, ACL </w:t>
      </w:r>
      <w:proofErr w:type="spellStart"/>
      <w:r>
        <w:t>Anthology</w:t>
      </w:r>
      <w:proofErr w:type="spellEnd"/>
      <w:r>
        <w:t>) asociados a cada entrada. Finalmente, la memoria se redacta de forma colaborativa con asignación clara de secciones según la distribución mostrada en la Tabla 1 y revisión cruzada completa antes de cada entrega formal.</w:t>
      </w:r>
    </w:p>
    <w:p w14:paraId="7B8C43B5" w14:textId="77777777" w:rsidR="005370DA" w:rsidRDefault="005370DA">
      <w:pPr>
        <w:spacing w:before="0" w:after="0" w:line="240" w:lineRule="auto"/>
        <w:jc w:val="left"/>
        <w:rPr>
          <w:rFonts w:asciiTheme="majorHAnsi" w:hAnsiTheme="majorHAnsi"/>
          <w:bCs/>
          <w:caps/>
          <w:color w:val="0098CD"/>
          <w:kern w:val="32"/>
          <w:sz w:val="36"/>
          <w:szCs w:val="32"/>
        </w:rPr>
      </w:pPr>
      <w:r>
        <w:br w:type="page"/>
      </w:r>
    </w:p>
    <w:p w14:paraId="4F0E795A" w14:textId="77777777" w:rsidR="00636E09" w:rsidRPr="005370DA" w:rsidRDefault="049C66FE" w:rsidP="005370DA">
      <w:pPr>
        <w:pStyle w:val="Heading1"/>
      </w:pPr>
      <w:bookmarkStart w:id="2" w:name="_Toc230950243"/>
      <w:bookmarkStart w:id="3" w:name="_Toc233199056"/>
      <w:r>
        <w:lastRenderedPageBreak/>
        <w:t>Introducción</w:t>
      </w:r>
      <w:bookmarkEnd w:id="2"/>
      <w:bookmarkEnd w:id="3"/>
    </w:p>
    <w:p w14:paraId="7952629C" w14:textId="77777777" w:rsidR="00636E09" w:rsidRDefault="049C66FE" w:rsidP="005370DA">
      <w:pPr>
        <w:pStyle w:val="Heading2"/>
      </w:pPr>
      <w:bookmarkStart w:id="4" w:name="_Toc230950244"/>
      <w:bookmarkStart w:id="5" w:name="_Toc233199057"/>
      <w:r>
        <w:t>Motivación</w:t>
      </w:r>
      <w:bookmarkEnd w:id="4"/>
      <w:bookmarkEnd w:id="5"/>
    </w:p>
    <w:p w14:paraId="689DF09B" w14:textId="77777777" w:rsidR="00636E09" w:rsidRDefault="00226D26">
      <w:r>
        <w:t xml:space="preserve">La lengua Inga, perteneciente a la familia lingüística quechua, constituye un sistema cultural vivo sostenido por aproximadamente 18.000 hablantes del pueblo Inga asentado en el departamento del Putumayo, al suroccidente de Colombia. Sus comunidades se distribuyen principalmente entre dos zonas dialectales: el Alto Putumayo, que abarca el Valle de Sibundoy con los corregimientos de San Andrés y los municipios de Santiago y Colón; y el Medio Putumayo, que comprende Mocoa, </w:t>
      </w:r>
      <w:proofErr w:type="spellStart"/>
      <w:r>
        <w:t>Condagua</w:t>
      </w:r>
      <w:proofErr w:type="spellEnd"/>
      <w:r>
        <w:t xml:space="preserve">, </w:t>
      </w:r>
      <w:proofErr w:type="spellStart"/>
      <w:r>
        <w:t>Yunguillo</w:t>
      </w:r>
      <w:proofErr w:type="spellEnd"/>
      <w:r>
        <w:t xml:space="preserve"> y Puerto </w:t>
      </w:r>
      <w:proofErr w:type="spellStart"/>
      <w:r>
        <w:t>Guayuyaco</w:t>
      </w:r>
      <w:proofErr w:type="spellEnd"/>
      <w:r>
        <w:t xml:space="preserve">. A pesar de seguir siendo una lengua de uso cotidiano en el hogar y en la vida comunitaria, el Inga atraviesa un proceso sostenido de desplazamiento frente al español, que opera como lengua dominante en los ámbitos educativo, institucional y digital. Este fenómeno no amenaza únicamente a un sistema de comunicación, sino a toda una cosmovisión y un sistema de conocimiento ancestral transmitido oralmente. La UNESCO (2022), en el </w:t>
      </w:r>
      <w:r>
        <w:rPr>
          <w:i/>
        </w:rPr>
        <w:t xml:space="preserve">World Atlas </w:t>
      </w:r>
      <w:proofErr w:type="spellStart"/>
      <w:r>
        <w:rPr>
          <w:i/>
        </w:rPr>
        <w:t>of</w:t>
      </w:r>
      <w:proofErr w:type="spellEnd"/>
      <w:r>
        <w:rPr>
          <w:i/>
        </w:rPr>
        <w:t xml:space="preserve"> </w:t>
      </w:r>
      <w:proofErr w:type="spellStart"/>
      <w:r>
        <w:rPr>
          <w:i/>
        </w:rPr>
        <w:t>Languages</w:t>
      </w:r>
      <w:proofErr w:type="spellEnd"/>
      <w:r>
        <w:t>, advierte que las lenguas indígenas del mundo enfrentan un riesgo de desaparición sin precedentes, y por ello la Organización de las Naciones Unidas ha proclamado la Década Internacional de las Lenguas Indígenas 2022-2032.</w:t>
      </w:r>
    </w:p>
    <w:p w14:paraId="0E2466C5" w14:textId="77777777" w:rsidR="00636E09" w:rsidRDefault="00226D26">
      <w:r>
        <w:t xml:space="preserve">Frente a esta realidad, la brecha digital adopta hoy la forma de una exclusión tecnológica. Los grandes traductores comerciales, como Google </w:t>
      </w:r>
      <w:proofErr w:type="spellStart"/>
      <w:r>
        <w:t>Translate</w:t>
      </w:r>
      <w:proofErr w:type="spellEnd"/>
      <w:r>
        <w:t xml:space="preserve"> y </w:t>
      </w:r>
      <w:proofErr w:type="spellStart"/>
      <w:r>
        <w:t>DeepL</w:t>
      </w:r>
      <w:proofErr w:type="spellEnd"/>
      <w:r>
        <w:t xml:space="preserve">, no contemplan la lengua Inga en su catálogo. En mayo de 2022, Google </w:t>
      </w:r>
      <w:proofErr w:type="spellStart"/>
      <w:r>
        <w:t>Translate</w:t>
      </w:r>
      <w:proofErr w:type="spellEnd"/>
      <w:r>
        <w:t xml:space="preserve"> incorporó </w:t>
      </w:r>
      <w:proofErr w:type="gramStart"/>
      <w:r>
        <w:t>Quechua</w:t>
      </w:r>
      <w:proofErr w:type="gramEnd"/>
      <w:r>
        <w:t xml:space="preserve"> sureño a su conjunto de idiomas soportados, pero la variante Inga del Putumayo continúa excluida. Los escasos recursos digitales disponibles se limitan al </w:t>
      </w:r>
      <w:r>
        <w:rPr>
          <w:i/>
        </w:rPr>
        <w:t>Diccionario Inga</w:t>
      </w:r>
      <w:r>
        <w:t xml:space="preserve"> del Valle de Sibundoy (Tandioy Jansasoy et al., 1997), a materiales pedagógicos del Instituto Lingüístico de Verano y a los recursos del programa </w:t>
      </w:r>
      <w:r>
        <w:rPr>
          <w:i/>
        </w:rPr>
        <w:t xml:space="preserve">Inga </w:t>
      </w:r>
      <w:proofErr w:type="spellStart"/>
      <w:r>
        <w:rPr>
          <w:i/>
        </w:rPr>
        <w:t>Rimangapa</w:t>
      </w:r>
      <w:proofErr w:type="spellEnd"/>
      <w:r>
        <w:rPr>
          <w:i/>
        </w:rPr>
        <w:t xml:space="preserve"> Samuichi</w:t>
      </w:r>
      <w:r>
        <w:t xml:space="preserve"> de Indiana </w:t>
      </w:r>
      <w:proofErr w:type="spellStart"/>
      <w:r>
        <w:t>University</w:t>
      </w:r>
      <w:proofErr w:type="spellEnd"/>
      <w:r>
        <w:t xml:space="preserve">, todos ellos con difusión restringida y sin integración computacional. La literatura reciente sobre procesamiento del lenguaje natural en lenguas indígenas de América Latina documenta con claridad este rezago sistemático (Tonja et al., 2024); los primeros esfuerzos de traducción automática para lenguas indígenas colombianas, incluida el Inga, aparecen con Prieto et al. (2024), quienes construyen el primer corpus paralelo documentado. Esta ausencia tecnológica </w:t>
      </w:r>
      <w:r>
        <w:lastRenderedPageBreak/>
        <w:t>profundiza la brecha entre las lenguas hegemónicas y las lenguas indígenas, y niega al Inga un espacio en el ecosistema digital contemporáneo.</w:t>
      </w:r>
    </w:p>
    <w:p w14:paraId="25873BBB" w14:textId="77777777" w:rsidR="00636E09" w:rsidRDefault="00226D26">
      <w:r>
        <w:t xml:space="preserve">Existe, sin embargo, un marco normativo y una ventana de oportunidad tecnológica que habilitan una respuesta viable desde la inteligencia artificial. La Constitución Política de Colombia (Asamblea Nacional Constituyente de Colombia, 1991) reconoce en su Artículo 10 la oficialidad territorial de las lenguas y dialectos de los grupos étnicos del país, y la Ley 1381 de 2010 desarrolla los derechos lingüísticos de estas comunidades, estableciendo principios explícitos de reconocimiento, fomento, protección, uso, preservación y fortalecimiento (Congreso de la República de Colombia, 2010). Los avances recientes en traducción automática multilingüe masiva, en técnicas de transfer </w:t>
      </w:r>
      <w:proofErr w:type="spellStart"/>
      <w:r>
        <w:t>learning</w:t>
      </w:r>
      <w:proofErr w:type="spellEnd"/>
      <w:r>
        <w:t xml:space="preserve"> desde lenguas emparentadas y en modelos de lenguaje de frontera potenciados con recuperación aumentada de información abren la posibilidad de producir herramientas utilizables para lenguas que hasta hace pocos años eran consideradas intratables. Las consideraciones éticas y comunitarias de este tipo de iniciativas se han sistematizado en la literatura reciente (Mager et al., 2023), y existen antecedentes exitosos de trabajos análogos, como la hoja de ruta desarrollada para el </w:t>
      </w:r>
      <w:proofErr w:type="spellStart"/>
      <w:r>
        <w:t>cherokee</w:t>
      </w:r>
      <w:proofErr w:type="spellEnd"/>
      <w:r>
        <w:t xml:space="preserve"> (Zhang et al., 2022). El presente trabajo se propone contribuir a cerrar la brecha digital del Inga situándose en la intersección de este marco normativo y esta oportunidad técnica.</w:t>
      </w:r>
    </w:p>
    <w:p w14:paraId="500B3632" w14:textId="77777777" w:rsidR="00636E09" w:rsidRDefault="00226D26">
      <w:r>
        <w:t>La ubicación geográfica del pueblo Inga en el departamento del Putumayo, con las principales comunidades de ambos dialectos, se muestra en la Figura 1.</w:t>
      </w:r>
    </w:p>
    <w:p w14:paraId="592AFE05" w14:textId="77777777" w:rsidR="00C43711" w:rsidRDefault="00226D26" w:rsidP="00C43711">
      <w:pPr>
        <w:pStyle w:val="Figuras"/>
        <w:keepNext/>
      </w:pPr>
      <w:r>
        <w:rPr>
          <w:noProof/>
        </w:rPr>
        <w:lastRenderedPageBreak/>
        <w:drawing>
          <wp:inline distT="0" distB="0" distL="0" distR="0" wp14:anchorId="6F45F70E" wp14:editId="6A23D8A2">
            <wp:extent cx="504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apa_putumayo.png"/>
                    <pic:cNvPicPr/>
                  </pic:nvPicPr>
                  <pic:blipFill>
                    <a:blip r:embed="rId12"/>
                    <a:stretch>
                      <a:fillRect/>
                    </a:stretch>
                  </pic:blipFill>
                  <pic:spPr>
                    <a:xfrm>
                      <a:off x="0" y="0"/>
                      <a:ext cx="5040000" cy="3780000"/>
                    </a:xfrm>
                    <a:prstGeom prst="rect">
                      <a:avLst/>
                    </a:prstGeom>
                  </pic:spPr>
                </pic:pic>
              </a:graphicData>
            </a:graphic>
          </wp:inline>
        </w:drawing>
      </w:r>
    </w:p>
    <w:p w14:paraId="615FE832" w14:textId="33683C15" w:rsidR="007052CF" w:rsidRDefault="00C43711" w:rsidP="00C43711">
      <w:pPr>
        <w:pStyle w:val="Caption"/>
        <w:jc w:val="center"/>
      </w:pPr>
      <w:bookmarkStart w:id="6" w:name="_Toc230952994"/>
      <w:bookmarkStart w:id="7" w:name="_Toc230961083"/>
      <w:bookmarkStart w:id="8" w:name="_Toc233199108"/>
      <w:r>
        <w:t xml:space="preserve">Figura </w:t>
      </w:r>
      <w:fldSimple w:instr=" SEQ Ilustración \* ARABIC ">
        <w:r w:rsidR="0059770D">
          <w:rPr>
            <w:noProof/>
          </w:rPr>
          <w:t>1</w:t>
        </w:r>
      </w:fldSimple>
      <w:r w:rsidRPr="00E241C7">
        <w:t xml:space="preserve"> Ubicación del pueblo Inga en el Putumayo</w:t>
      </w:r>
      <w:bookmarkEnd w:id="6"/>
      <w:bookmarkEnd w:id="7"/>
      <w:bookmarkEnd w:id="8"/>
    </w:p>
    <w:p w14:paraId="375BB2F6" w14:textId="77777777" w:rsidR="00636E09" w:rsidRPr="00A616E4" w:rsidRDefault="00226D26">
      <w:pPr>
        <w:pStyle w:val="Piedefoto-tabla"/>
        <w:jc w:val="both"/>
        <w:rPr>
          <w:lang w:val="es-CO"/>
        </w:rPr>
      </w:pPr>
      <w:r w:rsidRPr="00A616E4">
        <w:rPr>
          <w:i/>
          <w:lang w:val="es-CO"/>
        </w:rPr>
        <w:t xml:space="preserve">Nota. </w:t>
      </w:r>
      <w:r w:rsidRPr="00A616E4">
        <w:rPr>
          <w:lang w:val="es-CO"/>
        </w:rPr>
        <w:t xml:space="preserve">Elaboración propia con base en datos de </w:t>
      </w:r>
      <w:proofErr w:type="spellStart"/>
      <w:r w:rsidRPr="00A616E4">
        <w:rPr>
          <w:lang w:val="es-CO"/>
        </w:rPr>
        <w:t>OpenStreetMap</w:t>
      </w:r>
      <w:proofErr w:type="spellEnd"/>
      <w:r w:rsidRPr="00A616E4">
        <w:rPr>
          <w:lang w:val="es-CO"/>
        </w:rPr>
        <w:t xml:space="preserve"> </w:t>
      </w:r>
      <w:proofErr w:type="spellStart"/>
      <w:r w:rsidRPr="00A616E4">
        <w:rPr>
          <w:lang w:val="es-CO"/>
        </w:rPr>
        <w:t>contributors</w:t>
      </w:r>
      <w:proofErr w:type="spellEnd"/>
      <w:r w:rsidRPr="00A616E4">
        <w:rPr>
          <w:lang w:val="es-CO"/>
        </w:rPr>
        <w:t xml:space="preserve"> (</w:t>
      </w:r>
      <w:proofErr w:type="spellStart"/>
      <w:r w:rsidRPr="00A616E4">
        <w:rPr>
          <w:lang w:val="es-CO"/>
        </w:rPr>
        <w:t>ODbL</w:t>
      </w:r>
      <w:proofErr w:type="spellEnd"/>
      <w:r w:rsidRPr="00A616E4">
        <w:rPr>
          <w:lang w:val="es-CO"/>
        </w:rPr>
        <w:t>).</w:t>
      </w:r>
    </w:p>
    <w:p w14:paraId="53ED5751" w14:textId="77777777" w:rsidR="00636E09" w:rsidRDefault="049C66FE" w:rsidP="005370DA">
      <w:pPr>
        <w:pStyle w:val="Heading2"/>
      </w:pPr>
      <w:bookmarkStart w:id="9" w:name="_Toc230950245"/>
      <w:bookmarkStart w:id="10" w:name="_Toc233199058"/>
      <w:r>
        <w:t>Planteamiento del trabajo</w:t>
      </w:r>
      <w:bookmarkEnd w:id="9"/>
      <w:bookmarkEnd w:id="10"/>
    </w:p>
    <w:p w14:paraId="533B90FF" w14:textId="77777777" w:rsidR="00636E09" w:rsidRDefault="00226D26">
      <w:r>
        <w:t>El problema técnico que aborda el presente trabajo es la construcción de un sistema de traducción automática Inga-</w:t>
      </w:r>
      <w:r w:rsidR="00ED122C">
        <w:t>español</w:t>
      </w:r>
      <w:r>
        <w:t xml:space="preserve"> utilizable para una lengua que, antes de este proyecto, dispone de menos de 5.000 pares paralelos publicados en la literatura académica y de ningún sistema de traducción comercial o académico funcional. Este contexto define una situación de recursos extremadamente bajos que exige estrategias específicas distintas de las aplicadas a pares lingüísticos con abundancia de datos.</w:t>
      </w:r>
    </w:p>
    <w:p w14:paraId="2F3666EC" w14:textId="77777777" w:rsidR="00636E09" w:rsidRDefault="00226D26">
      <w:r>
        <w:t xml:space="preserve">La pregunta de investigación que orienta el trabajo se formula en los siguientes términos: </w:t>
      </w:r>
      <w:r>
        <w:rPr>
          <w:i/>
        </w:rPr>
        <w:t xml:space="preserve">¿cuál aproximación, el </w:t>
      </w:r>
      <w:r w:rsidR="00ED122C">
        <w:rPr>
          <w:i/>
        </w:rPr>
        <w:t>fine-tuning</w:t>
      </w:r>
      <w:r>
        <w:rPr>
          <w:i/>
        </w:rPr>
        <w:t xml:space="preserve"> de un modelo de traducción multilingüe </w:t>
      </w:r>
      <w:proofErr w:type="spellStart"/>
      <w:r>
        <w:rPr>
          <w:i/>
        </w:rPr>
        <w:t>preentrenado</w:t>
      </w:r>
      <w:proofErr w:type="spellEnd"/>
      <w:r>
        <w:rPr>
          <w:i/>
        </w:rPr>
        <w:t xml:space="preserve"> mediante técnicas eficientes en parámetros, o el uso de un modelo de lenguaje de frontera potenciado con recuperación aumentada de información, resulta más efectiva para traducir del Inga al </w:t>
      </w:r>
      <w:proofErr w:type="gramStart"/>
      <w:r>
        <w:rPr>
          <w:i/>
        </w:rPr>
        <w:t>Español</w:t>
      </w:r>
      <w:proofErr w:type="gramEnd"/>
      <w:r>
        <w:rPr>
          <w:i/>
        </w:rPr>
        <w:t xml:space="preserve"> y viceversa cuando los datos paralelos disponibles son extremadamente escasos?</w:t>
      </w:r>
      <w:r>
        <w:t xml:space="preserve"> Esta formulación tiene dos implicaciones metodológicas. La primera es que no se </w:t>
      </w:r>
      <w:r>
        <w:lastRenderedPageBreak/>
        <w:t>presume a priori la superioridad de una aproximación sobre la otra: ambas representan paradigmas contemporáneos con evidencia favorable en distintos escenarios, y el trabajo contribuye evidencia comparativa directa. La segunda es que se apuesta por mantener la formulación neutra respecto a modelos o versiones específicas, de modo que la pregunta sobreviva a la evolución tecnológica del campo durante el desarrollo del proyecto.</w:t>
      </w:r>
    </w:p>
    <w:p w14:paraId="55172EDF" w14:textId="77777777" w:rsidR="00636E09" w:rsidRDefault="00226D26">
      <w:r>
        <w:t xml:space="preserve">La propuesta general de solución consiste en el desarrollo en paralelo de ambas aproximaciones sobre un corpus </w:t>
      </w:r>
      <w:proofErr w:type="spellStart"/>
      <w:r>
        <w:t>bidialectal</w:t>
      </w:r>
      <w:proofErr w:type="spellEnd"/>
      <w:r>
        <w:t xml:space="preserve"> construido a partir de recursos comunitarios, textos paralelos existentes y corpus de lenguas quechuas emparentadas. La comparación se realiza mediante métricas automáticas estándar (BLEU, </w:t>
      </w:r>
      <w:proofErr w:type="spellStart"/>
      <w:r>
        <w:t>chrF</w:t>
      </w:r>
      <w:proofErr w:type="spellEnd"/>
      <w:r>
        <w:t xml:space="preserve">++, </w:t>
      </w:r>
      <w:proofErr w:type="spellStart"/>
      <w:r>
        <w:t>BERTScore</w:t>
      </w:r>
      <w:proofErr w:type="spellEnd"/>
      <w:r>
        <w:t>) y mediante validación cualitativa con hablantes nativos del Inga. Los detalles arquitecturales y metodológicos se presentan en el Capítulo 3.</w:t>
      </w:r>
    </w:p>
    <w:p w14:paraId="756DF142" w14:textId="77777777" w:rsidR="00636E09" w:rsidRDefault="00226D26">
      <w:r>
        <w:t xml:space="preserve">El alcance del </w:t>
      </w:r>
      <w:r w:rsidR="00ED122C">
        <w:t>presente trabajo</w:t>
      </w:r>
      <w:r>
        <w:t xml:space="preserve"> se limita a un piloto experimental local, ejecutable sobre hardware personal, y no a un sistema de producción. Se da cobertura explícita a los dos dialectos principales de la lengua, Alto Putumayo y Medio Putumayo, mediante fuentes documentales específicas de cada zona. Se establece como meta mínima la construcción de un corpus de 5.000 pares de oraciones paralelas, con una meta deseable de 10.000 pares al cierre del proyecto. La liberación de los recursos como bienes comunes para la comunidad Inga queda planteada como resultado natural del trabajo y como línea de trabajo ulterior, sin constituir un objetivo central de evaluación.</w:t>
      </w:r>
    </w:p>
    <w:p w14:paraId="15CD5F6C" w14:textId="77777777" w:rsidR="00636E09" w:rsidRDefault="00226D26">
      <w:r>
        <w:t>La arquitectura general del sistema comparativo propuesto se ilustra en la Figura 2, donde se presentan las dos líneas experimentales que convergen en la evaluación comparativa final.</w:t>
      </w:r>
    </w:p>
    <w:p w14:paraId="02D28209" w14:textId="77777777" w:rsidR="00C43711" w:rsidRDefault="00226D26" w:rsidP="00C43711">
      <w:pPr>
        <w:pStyle w:val="Figuras"/>
        <w:keepNext/>
      </w:pPr>
      <w:r>
        <w:rPr>
          <w:noProof/>
        </w:rPr>
        <w:lastRenderedPageBreak/>
        <w:drawing>
          <wp:inline distT="0" distB="0" distL="0" distR="0" wp14:anchorId="7C3AA520" wp14:editId="70DDBA80">
            <wp:extent cx="5400000" cy="3581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ctura_general.png"/>
                    <pic:cNvPicPr/>
                  </pic:nvPicPr>
                  <pic:blipFill>
                    <a:blip r:embed="rId13"/>
                    <a:stretch>
                      <a:fillRect/>
                    </a:stretch>
                  </pic:blipFill>
                  <pic:spPr>
                    <a:xfrm>
                      <a:off x="0" y="0"/>
                      <a:ext cx="5400000" cy="3581849"/>
                    </a:xfrm>
                    <a:prstGeom prst="rect">
                      <a:avLst/>
                    </a:prstGeom>
                  </pic:spPr>
                </pic:pic>
              </a:graphicData>
            </a:graphic>
          </wp:inline>
        </w:drawing>
      </w:r>
    </w:p>
    <w:p w14:paraId="60D357E7" w14:textId="57B04665" w:rsidR="007052CF" w:rsidRDefault="00C43711" w:rsidP="00C43711">
      <w:pPr>
        <w:pStyle w:val="Caption"/>
        <w:jc w:val="center"/>
      </w:pPr>
      <w:bookmarkStart w:id="11" w:name="_Toc230952995"/>
      <w:bookmarkStart w:id="12" w:name="_Toc230961084"/>
      <w:bookmarkStart w:id="13" w:name="_Toc233199109"/>
      <w:r>
        <w:t xml:space="preserve">Figura </w:t>
      </w:r>
      <w:fldSimple w:instr=" SEQ Ilustración \* ARABIC ">
        <w:r w:rsidR="0059770D">
          <w:rPr>
            <w:noProof/>
          </w:rPr>
          <w:t>2</w:t>
        </w:r>
      </w:fldSimple>
      <w:r>
        <w:t xml:space="preserve"> </w:t>
      </w:r>
      <w:r w:rsidRPr="008E464C">
        <w:t>Arquitectura general del sistema comparativo de traducción automática Inga-</w:t>
      </w:r>
      <w:proofErr w:type="gramStart"/>
      <w:r w:rsidRPr="008E464C">
        <w:t>Español</w:t>
      </w:r>
      <w:bookmarkEnd w:id="11"/>
      <w:bookmarkEnd w:id="12"/>
      <w:bookmarkEnd w:id="13"/>
      <w:proofErr w:type="gramEnd"/>
    </w:p>
    <w:p w14:paraId="26E02172" w14:textId="77777777" w:rsidR="00636E09" w:rsidRDefault="00226D26">
      <w:pPr>
        <w:pStyle w:val="Piedefoto-tabla"/>
        <w:jc w:val="both"/>
      </w:pPr>
      <w:r>
        <w:rPr>
          <w:i/>
        </w:rPr>
        <w:t xml:space="preserve">Nota. </w:t>
      </w:r>
      <w:proofErr w:type="spellStart"/>
      <w:r>
        <w:t>Elaboración</w:t>
      </w:r>
      <w:proofErr w:type="spellEnd"/>
      <w:r>
        <w:t xml:space="preserve"> </w:t>
      </w:r>
      <w:proofErr w:type="spellStart"/>
      <w:r>
        <w:t>propia</w:t>
      </w:r>
      <w:proofErr w:type="spellEnd"/>
      <w:r>
        <w:t>.</w:t>
      </w:r>
    </w:p>
    <w:p w14:paraId="7F6FEBCD" w14:textId="77777777" w:rsidR="00636E09" w:rsidRDefault="049C66FE">
      <w:pPr>
        <w:pStyle w:val="Heading2"/>
      </w:pPr>
      <w:bookmarkStart w:id="14" w:name="_Toc230950246"/>
      <w:bookmarkStart w:id="15" w:name="_Toc233199059"/>
      <w:r>
        <w:t>Estructura del trabajo</w:t>
      </w:r>
      <w:bookmarkEnd w:id="14"/>
      <w:bookmarkEnd w:id="15"/>
    </w:p>
    <w:p w14:paraId="03B60C11" w14:textId="77777777" w:rsidR="00636E09" w:rsidRDefault="00226D26">
      <w:r>
        <w:t xml:space="preserve">El presente documento se organiza en cinco capítulos, más las secciones de referencias bibliográficas y los anexos técnicos. El Capítulo 1 introduce la motivación del proyecto, el planteamiento del problema y la estructura general del trabajo. El Capítulo 2 desarrolla el contexto del problema, incluyendo la situación sociolingüística del Inga, el marco legal colombiano e internacional aplicable y los fundamentos técnicos de la traducción automática de bajos recursos, y presenta una revisión crítica del estado del arte en traducción automática de lenguas indígenas, con énfasis particular en los trabajos recientes sobre </w:t>
      </w:r>
      <w:proofErr w:type="gramStart"/>
      <w:r>
        <w:t>Quechua</w:t>
      </w:r>
      <w:proofErr w:type="gramEnd"/>
      <w:r>
        <w:t xml:space="preserve">, que constituye el antecedente más cercano al Inga por pertenecer a la misma familia lingüística. El Capítulo 3 expone el objetivo general, los objetivos específicos y la metodología del trabajo, organizada en siete fases y acompañada del cronograma del proyecto y la descripción de la infraestructura computacional empleada. El Capítulo 4 presenta el desarrollo específico de la contribución; </w:t>
      </w:r>
      <w:r w:rsidR="006210A0">
        <w:t xml:space="preserve">aquí </w:t>
      </w:r>
      <w:r>
        <w:t xml:space="preserve">se documentan los avances alcanzados al cierre de las primeras fases del proyecto: la configuración del entorno computacional, el inventario y procesamiento de los </w:t>
      </w:r>
      <w:r>
        <w:lastRenderedPageBreak/>
        <w:t xml:space="preserve">recursos lingüísticos primarios, el inicio de la construcción del corpus paralelo y el diseño de la base de conocimiento para la aproximación basada en recuperación aumentada. El Capítulo 5 recoge las conclusiones y las líneas de trabajo futuro; su contenido íntegro se presenta en la Entrega Final del </w:t>
      </w:r>
      <w:r w:rsidR="00ED122C">
        <w:t xml:space="preserve">trabajo de fin de </w:t>
      </w:r>
      <w:proofErr w:type="gramStart"/>
      <w:r w:rsidR="00ED122C">
        <w:t>Master</w:t>
      </w:r>
      <w:proofErr w:type="gramEnd"/>
      <w:r>
        <w:t>. Finalmente, se incluyen las referencias bibliográficas consultadas, siguiendo la norma APA séptima edición, y un anexo con el enlace al repositorio público de código y datos del proyecto.</w:t>
      </w:r>
    </w:p>
    <w:p w14:paraId="79F98D90" w14:textId="77777777" w:rsidR="00636E09" w:rsidRDefault="049C66FE">
      <w:pPr>
        <w:pStyle w:val="Heading1"/>
        <w:pageBreakBefore/>
      </w:pPr>
      <w:bookmarkStart w:id="16" w:name="_Toc230950247"/>
      <w:bookmarkStart w:id="17" w:name="_Toc233199060"/>
      <w:r>
        <w:lastRenderedPageBreak/>
        <w:t>Contexto y estado del arte</w:t>
      </w:r>
      <w:bookmarkEnd w:id="16"/>
      <w:bookmarkEnd w:id="17"/>
    </w:p>
    <w:p w14:paraId="75B8BFA6" w14:textId="77777777" w:rsidR="00636E09" w:rsidRDefault="049C66FE">
      <w:pPr>
        <w:pStyle w:val="Heading2"/>
      </w:pPr>
      <w:bookmarkStart w:id="18" w:name="_Toc230950248"/>
      <w:bookmarkStart w:id="19" w:name="_Toc233199061"/>
      <w:r>
        <w:t>Contexto del problema</w:t>
      </w:r>
      <w:bookmarkEnd w:id="18"/>
      <w:bookmarkEnd w:id="19"/>
    </w:p>
    <w:p w14:paraId="4B9D4A8D" w14:textId="77777777" w:rsidR="00636E09" w:rsidRDefault="049C66FE">
      <w:pPr>
        <w:pStyle w:val="Heading3"/>
        <w:rPr>
          <w:b w:val="0"/>
          <w:bCs w:val="0"/>
        </w:rPr>
      </w:pPr>
      <w:bookmarkStart w:id="20" w:name="_Toc230950249"/>
      <w:bookmarkStart w:id="21" w:name="_Toc233199062"/>
      <w:r>
        <w:rPr>
          <w:b w:val="0"/>
          <w:bCs w:val="0"/>
        </w:rPr>
        <w:t>La lengua Inga y su situación en el Putumayo</w:t>
      </w:r>
      <w:bookmarkEnd w:id="20"/>
      <w:bookmarkEnd w:id="21"/>
    </w:p>
    <w:p w14:paraId="6C41D7D0" w14:textId="77777777" w:rsidR="00636E09" w:rsidRDefault="00226D26">
      <w:r>
        <w:t xml:space="preserve">La lengua Inga es una variante norteña de la familia quechua, específicamente del grupo </w:t>
      </w:r>
      <w:proofErr w:type="gramStart"/>
      <w:r>
        <w:t>Quechua</w:t>
      </w:r>
      <w:proofErr w:type="gramEnd"/>
      <w:r>
        <w:t xml:space="preserve"> II-B según la clasificación de Torero, que se habla en el suroccidente de Colombia. Comparte con las demás lenguas quechuas una serie de rasgos tipológicos definitorios: es una lengua aglutinante, forma sus palabras mediante la concatenación de sufijos a una raíz, presenta orden sintáctico predominante sujeto-objeto-verbo (SOV), posee un sistema vocálico de tres unidades (/i/, /a/, /u/) y marca los casos gramaticales mediante sufijos nominales (Tandioy Jansasoy et al., 1997). El diccionario de referencia del Inga documenta estos rasgos sistemáticamente y registra la presencia de préstamos léxicos del español (marcados como </w:t>
      </w:r>
      <w:r>
        <w:rPr>
          <w:i/>
        </w:rPr>
        <w:t>Esp</w:t>
      </w:r>
      <w:r>
        <w:t>), americanismos (</w:t>
      </w:r>
      <w:r>
        <w:rPr>
          <w:i/>
        </w:rPr>
        <w:t>Amer</w:t>
      </w:r>
      <w:r>
        <w:t xml:space="preserve">) y vocablos provenientes de la lengua vecina </w:t>
      </w:r>
      <w:proofErr w:type="spellStart"/>
      <w:r>
        <w:t>Kamsá</w:t>
      </w:r>
      <w:proofErr w:type="spellEnd"/>
      <w:r>
        <w:t xml:space="preserve"> (</w:t>
      </w:r>
      <w:proofErr w:type="spellStart"/>
      <w:r>
        <w:rPr>
          <w:i/>
        </w:rPr>
        <w:t>Kamtsa</w:t>
      </w:r>
      <w:proofErr w:type="spellEnd"/>
      <w:r>
        <w:t>), con la que el Inga ha mantenido contacto intenso en el Valle de Sibundoy.</w:t>
      </w:r>
    </w:p>
    <w:p w14:paraId="3501498A" w14:textId="77777777" w:rsidR="00636E09" w:rsidRDefault="00226D26">
      <w:r>
        <w:t xml:space="preserve">El pueblo Inga está asentado principalmente en el departamento del Putumayo, en comunidades distribuidas entre dos zonas geográficas y dialectales claramente diferenciadas: el Alto Putumayo, que comprende el Valle de Sibundoy con los asentamientos de San Andrés, Santiago y Colón, y el Medio Putumayo, que incluye Mocoa, </w:t>
      </w:r>
      <w:proofErr w:type="spellStart"/>
      <w:r>
        <w:t>Condagua</w:t>
      </w:r>
      <w:proofErr w:type="spellEnd"/>
      <w:r>
        <w:t xml:space="preserve">, </w:t>
      </w:r>
      <w:proofErr w:type="spellStart"/>
      <w:r>
        <w:t>Yunguillo</w:t>
      </w:r>
      <w:proofErr w:type="spellEnd"/>
      <w:r>
        <w:t xml:space="preserve">, Puerto </w:t>
      </w:r>
      <w:proofErr w:type="spellStart"/>
      <w:r>
        <w:t>Guayuyaco</w:t>
      </w:r>
      <w:proofErr w:type="spellEnd"/>
      <w:r>
        <w:t xml:space="preserve"> y la Bota Caucana, con presencia también en el departamento de Nariño (Aponte) y en el Caquetá. El número de hablantes estimado asciende a aproximadamente 18.000 personas, cifra significativa en el contexto </w:t>
      </w:r>
      <w:proofErr w:type="gramStart"/>
      <w:r>
        <w:t>colombiano</w:t>
      </w:r>
      <w:proofErr w:type="gramEnd"/>
      <w:r>
        <w:t xml:space="preserve"> pero extremadamente reducida en comparación con las lenguas mayoritarias del país.</w:t>
      </w:r>
    </w:p>
    <w:p w14:paraId="0D6EFA18" w14:textId="77777777" w:rsidR="00636E09" w:rsidRDefault="00226D26">
      <w:r>
        <w:t xml:space="preserve">La existencia de dos variantes dialectales claramente documentadas, el Alto Putumayo (AP) y el Medio Putumayo (MP), con </w:t>
      </w:r>
      <w:proofErr w:type="spellStart"/>
      <w:r>
        <w:t>subvariantes</w:t>
      </w:r>
      <w:proofErr w:type="spellEnd"/>
      <w:r>
        <w:t xml:space="preserve"> como </w:t>
      </w:r>
      <w:proofErr w:type="spellStart"/>
      <w:r>
        <w:t>Yunguillo</w:t>
      </w:r>
      <w:proofErr w:type="spellEnd"/>
      <w:r>
        <w:t xml:space="preserve"> (Yun) y </w:t>
      </w:r>
      <w:proofErr w:type="spellStart"/>
      <w:r>
        <w:t>Guayuyaco</w:t>
      </w:r>
      <w:proofErr w:type="spellEnd"/>
      <w:r>
        <w:t xml:space="preserve"> (Gua), tiene implicaciones directas para cualquier sistema de traducción automática que se adopte. El propio </w:t>
      </w:r>
      <w:r>
        <w:rPr>
          <w:i/>
        </w:rPr>
        <w:t>Diccionario Inga</w:t>
      </w:r>
      <w:r>
        <w:t xml:space="preserve"> (Tandioy Jansasoy et al., 1997) registra las diferencias léxicas entre dialectos; a modo de ilustración, el verbo "estornudar" aparece como </w:t>
      </w:r>
      <w:proofErr w:type="spellStart"/>
      <w:r>
        <w:rPr>
          <w:i/>
        </w:rPr>
        <w:t>achijai</w:t>
      </w:r>
      <w:proofErr w:type="spellEnd"/>
      <w:r>
        <w:t xml:space="preserve"> en el Alto Putumayo, </w:t>
      </w:r>
      <w:proofErr w:type="spellStart"/>
      <w:r>
        <w:rPr>
          <w:i/>
        </w:rPr>
        <w:t>achijii</w:t>
      </w:r>
      <w:proofErr w:type="spellEnd"/>
      <w:r>
        <w:t xml:space="preserve"> en </w:t>
      </w:r>
      <w:proofErr w:type="spellStart"/>
      <w:r>
        <w:t>Yunguillo</w:t>
      </w:r>
      <w:proofErr w:type="spellEnd"/>
      <w:r>
        <w:t xml:space="preserve"> y </w:t>
      </w:r>
      <w:proofErr w:type="spellStart"/>
      <w:r>
        <w:rPr>
          <w:i/>
        </w:rPr>
        <w:t>jachii</w:t>
      </w:r>
      <w:proofErr w:type="spellEnd"/>
      <w:r>
        <w:t xml:space="preserve"> en Mocoa. Estas variaciones, que afectan tanto al léxico como a la fonología y la morfología, implican que un corpus paralelo construido </w:t>
      </w:r>
      <w:r>
        <w:lastRenderedPageBreak/>
        <w:t>exclusivamente desde una variante dialectal no representa adecuadamente al conjunto de hablantes. El presente trabajo aborda esta heterogeneidad incorporando fuentes primarias de ambos dialectos.</w:t>
      </w:r>
    </w:p>
    <w:p w14:paraId="757D1EB7" w14:textId="77777777" w:rsidR="00636E09" w:rsidRDefault="00226D26">
      <w:r>
        <w:t xml:space="preserve">La situación sociolingüística del Inga se caracteriza por un desplazamiento progresivo frente al español en los ámbitos institucional, educativo y económico, a pesar de mantener vitalidad en el hogar y la vida comunitaria. El panorama del procesamiento del lenguaje natural para lenguas indígenas de América Latina, sistematizado recientemente por Tonja et al. (2024), documenta que lenguas en esta categoría enfrentan un rezago tecnológico marcado que retroalimenta el desplazamiento sociolingüístico: sin presencia digital se pierde utilidad instrumental, y sin utilidad instrumental se acelera el desplazamiento. La UNESCO (2022), en su </w:t>
      </w:r>
      <w:r>
        <w:rPr>
          <w:i/>
        </w:rPr>
        <w:t xml:space="preserve">World Atlas </w:t>
      </w:r>
      <w:proofErr w:type="spellStart"/>
      <w:r>
        <w:rPr>
          <w:i/>
        </w:rPr>
        <w:t>of</w:t>
      </w:r>
      <w:proofErr w:type="spellEnd"/>
      <w:r>
        <w:rPr>
          <w:i/>
        </w:rPr>
        <w:t xml:space="preserve"> </w:t>
      </w:r>
      <w:proofErr w:type="spellStart"/>
      <w:r>
        <w:rPr>
          <w:i/>
        </w:rPr>
        <w:t>Languages</w:t>
      </w:r>
      <w:proofErr w:type="spellEnd"/>
      <w:r>
        <w:t>, describe precisamente este círculo como uno de los principales factores de pérdida acelerada de lenguas en el mundo contemporáneo.</w:t>
      </w:r>
    </w:p>
    <w:p w14:paraId="5C1054EE" w14:textId="77777777" w:rsidR="00636E09" w:rsidRDefault="00226D26">
      <w:r>
        <w:t xml:space="preserve">La distinción dialectal entre Alto Putumayo y Medio Putumayo, con ejemplos léxicos tomados directamente del </w:t>
      </w:r>
      <w:r>
        <w:rPr>
          <w:i/>
        </w:rPr>
        <w:t>Diccionario Inga</w:t>
      </w:r>
      <w:r>
        <w:t xml:space="preserve"> (Tandioy Jansasoy et al., 1997), se sintetiza en la Figura 3.</w:t>
      </w:r>
    </w:p>
    <w:p w14:paraId="79971170" w14:textId="77777777" w:rsidR="00C43711" w:rsidRDefault="00226D26" w:rsidP="00C43711">
      <w:pPr>
        <w:pStyle w:val="Figuras"/>
        <w:keepNext/>
      </w:pPr>
      <w:r>
        <w:rPr>
          <w:noProof/>
        </w:rPr>
        <w:drawing>
          <wp:inline distT="0" distB="0" distL="0" distR="0" wp14:anchorId="0548C6B3" wp14:editId="53FB80CA">
            <wp:extent cx="5400000" cy="3131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ialectos_ap_mp.png"/>
                    <pic:cNvPicPr/>
                  </pic:nvPicPr>
                  <pic:blipFill>
                    <a:blip r:embed="rId14"/>
                    <a:stretch>
                      <a:fillRect/>
                    </a:stretch>
                  </pic:blipFill>
                  <pic:spPr>
                    <a:xfrm>
                      <a:off x="0" y="0"/>
                      <a:ext cx="5400000" cy="3131092"/>
                    </a:xfrm>
                    <a:prstGeom prst="rect">
                      <a:avLst/>
                    </a:prstGeom>
                  </pic:spPr>
                </pic:pic>
              </a:graphicData>
            </a:graphic>
          </wp:inline>
        </w:drawing>
      </w:r>
    </w:p>
    <w:p w14:paraId="3384F3DE" w14:textId="336FB28E" w:rsidR="007052CF" w:rsidRDefault="00C43711" w:rsidP="00C43711">
      <w:pPr>
        <w:pStyle w:val="Caption"/>
        <w:jc w:val="center"/>
      </w:pPr>
      <w:bookmarkStart w:id="22" w:name="_Toc230952996"/>
      <w:bookmarkStart w:id="23" w:name="_Toc230961085"/>
      <w:bookmarkStart w:id="24" w:name="_Toc233199110"/>
      <w:r>
        <w:t xml:space="preserve">Figura </w:t>
      </w:r>
      <w:fldSimple w:instr=" SEQ Ilustración \* ARABIC ">
        <w:r w:rsidR="0059770D">
          <w:rPr>
            <w:noProof/>
          </w:rPr>
          <w:t>3</w:t>
        </w:r>
      </w:fldSimple>
      <w:r>
        <w:t xml:space="preserve"> </w:t>
      </w:r>
      <w:r w:rsidRPr="00241BF1">
        <w:t>Variantes dialectales del Inga: Alto Putumayo y Medio Putumayo</w:t>
      </w:r>
      <w:bookmarkEnd w:id="22"/>
      <w:bookmarkEnd w:id="23"/>
      <w:bookmarkEnd w:id="24"/>
    </w:p>
    <w:p w14:paraId="0E8C60FF" w14:textId="77777777" w:rsidR="005370DA" w:rsidRDefault="005370DA" w:rsidP="007052CF">
      <w:pPr>
        <w:pStyle w:val="Caption"/>
        <w:jc w:val="center"/>
      </w:pPr>
    </w:p>
    <w:p w14:paraId="3A71C5D8" w14:textId="77777777" w:rsidR="00636E09" w:rsidRPr="00A616E4" w:rsidRDefault="00226D26" w:rsidP="00C43711">
      <w:pPr>
        <w:pStyle w:val="Piedefoto-tabla"/>
        <w:ind w:left="0"/>
        <w:jc w:val="both"/>
        <w:rPr>
          <w:lang w:val="es-CO"/>
        </w:rPr>
      </w:pPr>
      <w:r w:rsidRPr="00A616E4">
        <w:rPr>
          <w:i/>
          <w:lang w:val="es-CO"/>
        </w:rPr>
        <w:t xml:space="preserve">Nota. </w:t>
      </w:r>
      <w:r w:rsidRPr="00A616E4">
        <w:rPr>
          <w:lang w:val="es-CO"/>
        </w:rPr>
        <w:t>Elaboración propia a partir del Diccionario Inga (Tandioy Jansasoy et al., 1997).</w:t>
      </w:r>
    </w:p>
    <w:p w14:paraId="39BFB394" w14:textId="77777777" w:rsidR="00636E09" w:rsidRDefault="049C66FE">
      <w:pPr>
        <w:pStyle w:val="Heading3"/>
        <w:rPr>
          <w:b w:val="0"/>
          <w:bCs w:val="0"/>
        </w:rPr>
      </w:pPr>
      <w:bookmarkStart w:id="25" w:name="_Toc230950250"/>
      <w:bookmarkStart w:id="26" w:name="_Toc233199063"/>
      <w:r>
        <w:rPr>
          <w:b w:val="0"/>
          <w:bCs w:val="0"/>
        </w:rPr>
        <w:lastRenderedPageBreak/>
        <w:t>Marco legal-político en Colombia y contexto internacional</w:t>
      </w:r>
      <w:bookmarkEnd w:id="25"/>
      <w:bookmarkEnd w:id="26"/>
    </w:p>
    <w:p w14:paraId="0A5912E1" w14:textId="77777777" w:rsidR="00636E09" w:rsidRDefault="00226D26">
      <w:r>
        <w:t>En el ámbito nacional, Colombia dispone de un marco normativo robusto para la protección y promoción de las lenguas indígenas. La Constitución Política de Colombia (Asamblea Nacional Constituyente de Colombia, 1991) establece en su Artículo 10 que "el castellano es el idioma oficial de Colombia. Las lenguas y dialectos de los grupos étnicos son también oficiales en sus territorios". Este principio de oficialidad territorial reconoce al Inga como lengua oficial en las comunidades donde se habla, con las implicaciones jurídicas que ello conlleva en materia de educación, acceso a la justicia y relación con la administración pública.</w:t>
      </w:r>
    </w:p>
    <w:p w14:paraId="1635FA9D" w14:textId="77777777" w:rsidR="00636E09" w:rsidRDefault="00226D26">
      <w:r>
        <w:t>El desarrollo normativo específico de este reconocimiento constitucional se materializa en la Ley 1381 de 2010 (Congreso de la República de Colombia, 2010), por la cual se desarrollan los artículos 7°, 8°, 10 y 70 de la Constitución Política y se establecen normas sobre el reconocimiento, fomento, protección, uso, preservación y fortalecimiento de las lenguas de los grupos étnicos de Colombia y los derechos lingüísticos de sus hablantes. Esta ley consagra principios como la obligatoriedad estatal de proteger las lenguas nativas, el derecho a la educación intercultural bilingüe, la producción de materiales en lenguas nativas y el acceso a servicios públicos en la lengua propia. Sin embargo, la implementación efectiva de estos principios enfrenta limitaciones operativas importantes, entre ellas la ausencia casi total de herramientas digitales para las lenguas indígenas colombianas.</w:t>
      </w:r>
    </w:p>
    <w:p w14:paraId="2FDC0758" w14:textId="77777777" w:rsidR="00636E09" w:rsidRDefault="00226D26">
      <w:r>
        <w:t xml:space="preserve">En el ámbito internacional, la Organización de las Naciones Unidas ha proclamado la Década Internacional de las Lenguas Indígenas 2022-2032, iniciativa cuyo seguimiento técnico se canaliza a través del </w:t>
      </w:r>
      <w:r>
        <w:rPr>
          <w:i/>
        </w:rPr>
        <w:t xml:space="preserve">World Atlas </w:t>
      </w:r>
      <w:proofErr w:type="spellStart"/>
      <w:r>
        <w:rPr>
          <w:i/>
        </w:rPr>
        <w:t>of</w:t>
      </w:r>
      <w:proofErr w:type="spellEnd"/>
      <w:r>
        <w:rPr>
          <w:i/>
        </w:rPr>
        <w:t xml:space="preserve"> </w:t>
      </w:r>
      <w:proofErr w:type="spellStart"/>
      <w:r>
        <w:rPr>
          <w:i/>
        </w:rPr>
        <w:t>Languages</w:t>
      </w:r>
      <w:proofErr w:type="spellEnd"/>
      <w:r>
        <w:t xml:space="preserve"> de la UNESCO (2022), un atlas interactivo que reemplaza al antiguo </w:t>
      </w:r>
      <w:r>
        <w:rPr>
          <w:i/>
        </w:rPr>
        <w:t xml:space="preserve">Atlas </w:t>
      </w:r>
      <w:proofErr w:type="spellStart"/>
      <w:r>
        <w:rPr>
          <w:i/>
        </w:rPr>
        <w:t>of</w:t>
      </w:r>
      <w:proofErr w:type="spellEnd"/>
      <w:r>
        <w:rPr>
          <w:i/>
        </w:rPr>
        <w:t xml:space="preserve"> </w:t>
      </w:r>
      <w:proofErr w:type="spellStart"/>
      <w:r>
        <w:rPr>
          <w:i/>
        </w:rPr>
        <w:t>Languages</w:t>
      </w:r>
      <w:proofErr w:type="spellEnd"/>
      <w:r>
        <w:rPr>
          <w:i/>
        </w:rPr>
        <w:t xml:space="preserve"> in Danger</w:t>
      </w:r>
      <w:r>
        <w:t xml:space="preserve"> y que documenta actualmente 8.324 lenguas en el mundo, de las cuales un porcentaje significativo se encuentra en algún grado de vulnerabilidad o peligro de desaparición. Este marco internacional ofrece un respaldo político y simbólico fundamental, aunque los esfuerzos técnicos concretos, como el presente </w:t>
      </w:r>
      <w:r w:rsidR="00ED122C">
        <w:t>trabajo</w:t>
      </w:r>
      <w:r>
        <w:t>, dependen principalmente de iniciativas académicas y comunitarias específicas.</w:t>
      </w:r>
    </w:p>
    <w:p w14:paraId="27127830" w14:textId="77777777" w:rsidR="00636E09" w:rsidRDefault="00226D26">
      <w:r>
        <w:t xml:space="preserve">La tensión entre un marco normativo amplio y una disponibilidad real de herramientas digitales es precisamente el espacio en el que se inscribe el presente trabajo. El proyecto se propone aportar evidencia técnica sobre la viabilidad de construir sistemas de traducción </w:t>
      </w:r>
      <w:r>
        <w:lastRenderedPageBreak/>
        <w:t>automática para lenguas indígenas colombianas utilizando las capacidades actuales de la inteligencia artificial, y contribuir de esta manera al cumplimiento práctico de los mandatos establecidos en la Constitución y la Ley 1381 de 2010.</w:t>
      </w:r>
    </w:p>
    <w:p w14:paraId="0A998C47" w14:textId="77777777" w:rsidR="00636E09" w:rsidRDefault="049C66FE">
      <w:pPr>
        <w:pStyle w:val="Heading3"/>
        <w:rPr>
          <w:b w:val="0"/>
          <w:bCs w:val="0"/>
        </w:rPr>
      </w:pPr>
      <w:bookmarkStart w:id="27" w:name="_Toc230950251"/>
      <w:bookmarkStart w:id="28" w:name="_Toc233199064"/>
      <w:r>
        <w:rPr>
          <w:b w:val="0"/>
          <w:bCs w:val="0"/>
        </w:rPr>
        <w:t>Traducción automática de bajos recursos: fundamentos</w:t>
      </w:r>
      <w:bookmarkEnd w:id="27"/>
      <w:bookmarkEnd w:id="28"/>
    </w:p>
    <w:p w14:paraId="3FA7342B" w14:textId="77777777" w:rsidR="00636E09" w:rsidRDefault="00226D26">
      <w:r>
        <w:t>La traducción automática (</w:t>
      </w:r>
      <w:r>
        <w:rPr>
          <w:i/>
        </w:rPr>
        <w:t xml:space="preserve">Machine </w:t>
      </w:r>
      <w:proofErr w:type="spellStart"/>
      <w:r>
        <w:rPr>
          <w:i/>
        </w:rPr>
        <w:t>Translation</w:t>
      </w:r>
      <w:proofErr w:type="spellEnd"/>
      <w:r>
        <w:t xml:space="preserve"> o MT) se define como la tarea computacional de convertir automáticamente un texto de una lengua fuente a una lengua destino preservando su contenido semántico y, en la medida de lo posible, sus propiedades estilísticas. En el contexto del procesamiento del lenguaje natural, las lenguas se categorizan habitualmente según la disponibilidad de recursos paralelos y monolingües: las lenguas de altos recursos, como el inglés, el español o el chino mandarín, cuentan con decenas de millones de pares paralelos publicados; las lenguas de recursos medios disponen de cifras en el orden de cientos de miles a millones de pares; y las lenguas de bajos recursos, entre las que se encuentran la mayoría de las lenguas indígenas del continente americano, disponen de menos de 100.000 pares y a menudo de cifras muy inferiores (Tonja et al., 2024). El Inga se ubica en una categoría aún más restrictiva, denominada en la literatura como "recursos extremadamente bajos" o </w:t>
      </w:r>
      <w:proofErr w:type="spellStart"/>
      <w:r>
        <w:rPr>
          <w:i/>
        </w:rPr>
        <w:t>extremely</w:t>
      </w:r>
      <w:proofErr w:type="spellEnd"/>
      <w:r>
        <w:rPr>
          <w:i/>
        </w:rPr>
        <w:t xml:space="preserve"> </w:t>
      </w:r>
      <w:proofErr w:type="spellStart"/>
      <w:r>
        <w:rPr>
          <w:i/>
        </w:rPr>
        <w:t>low-resource</w:t>
      </w:r>
      <w:proofErr w:type="spellEnd"/>
      <w:r>
        <w:t>, caracterizada por disponer de menos de 5.000 pares paralelos antes de la ejecución del presente trabajo.</w:t>
      </w:r>
    </w:p>
    <w:p w14:paraId="0C892E31" w14:textId="77777777" w:rsidR="00636E09" w:rsidRDefault="00226D26">
      <w:r>
        <w:t xml:space="preserve">El paradigma dominante para la traducción automática ha evolucionado significativamente en las dos últimas décadas. Los sistemas de traducción automática estadística (SMT), que dominaron el campo hasta mediados de la década de 2010, fueron reemplazados por los sistemas de traducción automática neuronal (NMT) basados inicialmente en redes recurrentes con mecanismo de atención y, posteriormente, en la arquitectura </w:t>
      </w:r>
      <w:proofErr w:type="spellStart"/>
      <w:r>
        <w:rPr>
          <w:i/>
        </w:rPr>
        <w:t>Transformer</w:t>
      </w:r>
      <w:proofErr w:type="spellEnd"/>
      <w:r>
        <w:t xml:space="preserve">. El salto cualitativo más reciente ha sido el desarrollo de modelos multilingües masivos entrenados sobre cientos de lenguas simultáneamente, con transferencia </w:t>
      </w:r>
      <w:proofErr w:type="spellStart"/>
      <w:r>
        <w:t>cross</w:t>
      </w:r>
      <w:proofErr w:type="spellEnd"/>
      <w:r>
        <w:t xml:space="preserve">-lingual incorporada desde el preentrenamiento. El modelo NLLB-200 (No </w:t>
      </w:r>
      <w:proofErr w:type="spellStart"/>
      <w:r>
        <w:t>Language</w:t>
      </w:r>
      <w:proofErr w:type="spellEnd"/>
      <w:r>
        <w:t xml:space="preserve"> Left </w:t>
      </w:r>
      <w:proofErr w:type="spellStart"/>
      <w:r>
        <w:t>Behind</w:t>
      </w:r>
      <w:proofErr w:type="spellEnd"/>
      <w:r>
        <w:t>), presentado por el equipo NLLB y Costa-</w:t>
      </w:r>
      <w:proofErr w:type="spellStart"/>
      <w:r>
        <w:t>jussà</w:t>
      </w:r>
      <w:proofErr w:type="spellEnd"/>
      <w:r>
        <w:t xml:space="preserve"> et al. (2022) y documentado posteriormente en </w:t>
      </w:r>
      <w:r>
        <w:rPr>
          <w:i/>
        </w:rPr>
        <w:t>Nature</w:t>
      </w:r>
      <w:r>
        <w:t xml:space="preserve"> por el mismo equipo (NLLB Team et al., 2024), soporta traducción directa entre 200 lenguas, incluidas varias lenguas indígenas americanas como el Quechua Ayacucho (</w:t>
      </w:r>
      <w:proofErr w:type="spellStart"/>
      <w:r>
        <w:rPr>
          <w:rFonts w:ascii="Consolas" w:hAnsi="Consolas"/>
        </w:rPr>
        <w:t>quy_Latn</w:t>
      </w:r>
      <w:proofErr w:type="spellEnd"/>
      <w:r>
        <w:t xml:space="preserve">), el </w:t>
      </w:r>
      <w:proofErr w:type="gramStart"/>
      <w:r>
        <w:lastRenderedPageBreak/>
        <w:t>Guaraní</w:t>
      </w:r>
      <w:proofErr w:type="gramEnd"/>
      <w:r>
        <w:t xml:space="preserve"> y el Aymara. Esta propiedad habilita estrategias de transferencia desde lenguas quechuas ya incluidas en el modelo hacia el Inga, aún ausente en los datos de entrenamiento.</w:t>
      </w:r>
    </w:p>
    <w:p w14:paraId="05BDB5BE" w14:textId="77777777" w:rsidR="00636E09" w:rsidRDefault="00226D26">
      <w:r>
        <w:t xml:space="preserve">Los desafíos específicos de la traducción automática de bajos recursos son técnicos y evaluativos. Desde el punto de vista técnico, la escasez de datos paralelos impide el entrenamiento desde cero de modelos competitivos, y exige estrategias como transfer </w:t>
      </w:r>
      <w:proofErr w:type="spellStart"/>
      <w:r>
        <w:t>learning</w:t>
      </w:r>
      <w:proofErr w:type="spellEnd"/>
      <w:r>
        <w:t xml:space="preserve"> desde modelos </w:t>
      </w:r>
      <w:proofErr w:type="spellStart"/>
      <w:r>
        <w:t>preentrenados</w:t>
      </w:r>
      <w:proofErr w:type="spellEnd"/>
      <w:r>
        <w:t xml:space="preserve">, augmentación sintética de datos (por ejemplo, </w:t>
      </w:r>
      <w:r>
        <w:rPr>
          <w:i/>
        </w:rPr>
        <w:t>back-</w:t>
      </w:r>
      <w:proofErr w:type="spellStart"/>
      <w:r>
        <w:rPr>
          <w:i/>
        </w:rPr>
        <w:t>translation</w:t>
      </w:r>
      <w:proofErr w:type="spellEnd"/>
      <w:r>
        <w:t>), y ajuste fino eficiente en parámetros que no requiera entrenar millones de parámetros sobre corpus minúsculos. Desde el punto de vista evaluativo, las métricas automáticas tradicionales como BLEU fueron diseñadas originalmente para pares de alta disponibilidad de datos y tienden a penalizar en exceso las lenguas aglutinantes como el Inga, donde un mismo contenido semántico admite múltiples realizaciones superficiales válidas. Por ello, la literatura reciente (</w:t>
      </w:r>
      <w:proofErr w:type="spellStart"/>
      <w:r>
        <w:t>AmericasNLP</w:t>
      </w:r>
      <w:proofErr w:type="spellEnd"/>
      <w:r>
        <w:t xml:space="preserve"> 2024 y 2025; Ebrahimi et al., 2024; de Gibert et al., 2025) recomienda métricas basadas en caracteres como </w:t>
      </w:r>
      <w:proofErr w:type="spellStart"/>
      <w:r>
        <w:t>chrF</w:t>
      </w:r>
      <w:proofErr w:type="spellEnd"/>
      <w:r>
        <w:t xml:space="preserve">++ (Popović, 2017) y métricas basadas en </w:t>
      </w:r>
      <w:proofErr w:type="spellStart"/>
      <w:r>
        <w:t>embeddings</w:t>
      </w:r>
      <w:proofErr w:type="spellEnd"/>
      <w:r>
        <w:t xml:space="preserve"> contextuales como </w:t>
      </w:r>
      <w:proofErr w:type="spellStart"/>
      <w:r>
        <w:t>BERTScore</w:t>
      </w:r>
      <w:proofErr w:type="spellEnd"/>
      <w:r>
        <w:t xml:space="preserve"> (Zhang et al., 2020) o COMET (Rei et al., 2022) como complemento indispensable a BLEU.</w:t>
      </w:r>
    </w:p>
    <w:p w14:paraId="59F1E661" w14:textId="77777777" w:rsidR="00636E09" w:rsidRDefault="049C66FE">
      <w:pPr>
        <w:pStyle w:val="Heading3"/>
        <w:rPr>
          <w:b w:val="0"/>
          <w:bCs w:val="0"/>
        </w:rPr>
      </w:pPr>
      <w:bookmarkStart w:id="29" w:name="_Toc230950252"/>
      <w:bookmarkStart w:id="30" w:name="_Toc233199065"/>
      <w:r>
        <w:rPr>
          <w:b w:val="0"/>
          <w:bCs w:val="0"/>
        </w:rPr>
        <w:t xml:space="preserve">Transfer </w:t>
      </w:r>
      <w:proofErr w:type="spellStart"/>
      <w:r>
        <w:rPr>
          <w:b w:val="0"/>
          <w:bCs w:val="0"/>
        </w:rPr>
        <w:t>learning</w:t>
      </w:r>
      <w:proofErr w:type="spellEnd"/>
      <w:r>
        <w:rPr>
          <w:b w:val="0"/>
          <w:bCs w:val="0"/>
        </w:rPr>
        <w:t xml:space="preserve"> y recuperación aumentada: definiciones</w:t>
      </w:r>
      <w:bookmarkEnd w:id="29"/>
      <w:bookmarkEnd w:id="30"/>
    </w:p>
    <w:p w14:paraId="30200576" w14:textId="77777777" w:rsidR="00636E09" w:rsidRDefault="00226D26">
      <w:r>
        <w:t xml:space="preserve">El transfer </w:t>
      </w:r>
      <w:proofErr w:type="spellStart"/>
      <w:r>
        <w:t>learning</w:t>
      </w:r>
      <w:proofErr w:type="spellEnd"/>
      <w:r>
        <w:t xml:space="preserve"> o aprendizaje por transferencia en traducción automática consiste en reutilizar representaciones lingüísticas aprendidas por un modelo sobre una lengua de alta disponibilidad de datos como punto de partida para adaptarse a una lengua de baja disponibilidad. La forma más directa de transfer </w:t>
      </w:r>
      <w:proofErr w:type="spellStart"/>
      <w:r>
        <w:t>learning</w:t>
      </w:r>
      <w:proofErr w:type="spellEnd"/>
      <w:r>
        <w:t xml:space="preserve"> en NMT es el ajuste fino (</w:t>
      </w:r>
      <w:r>
        <w:rPr>
          <w:i/>
        </w:rPr>
        <w:t>fine-tuning</w:t>
      </w:r>
      <w:r>
        <w:t xml:space="preserve">) completo, que reentrena todos los parámetros del modelo </w:t>
      </w:r>
      <w:proofErr w:type="spellStart"/>
      <w:r>
        <w:t>preentrenado</w:t>
      </w:r>
      <w:proofErr w:type="spellEnd"/>
      <w:r>
        <w:t xml:space="preserve"> sobre el corpus específico de la lengua objetivo; sin embargo, esta aproximación requiere capacidad de cómputo considerable y es vulnerable al olvido catastrófico de las capacidades </w:t>
      </w:r>
      <w:proofErr w:type="spellStart"/>
      <w:r>
        <w:t>cross</w:t>
      </w:r>
      <w:proofErr w:type="spellEnd"/>
      <w:r>
        <w:t>-lingual adquiridas durante el preentrenamiento. Una alternativa que ha ganado tracción desde 2022 es el ajuste fino eficiente en parámetros (</w:t>
      </w:r>
      <w:proofErr w:type="spellStart"/>
      <w:r>
        <w:rPr>
          <w:i/>
        </w:rPr>
        <w:t>parameter-efficient</w:t>
      </w:r>
      <w:proofErr w:type="spellEnd"/>
      <w:r>
        <w:rPr>
          <w:i/>
        </w:rPr>
        <w:t xml:space="preserve"> fine-tuning</w:t>
      </w:r>
      <w:r>
        <w:t xml:space="preserve"> o PEFT), que modifica únicamente un subconjunto reducido de parámetros del modelo. La técnica más difundida en esta línea es </w:t>
      </w:r>
      <w:r>
        <w:rPr>
          <w:i/>
        </w:rPr>
        <w:t xml:space="preserve">Low-Rank </w:t>
      </w:r>
      <w:proofErr w:type="spellStart"/>
      <w:r>
        <w:rPr>
          <w:i/>
        </w:rPr>
        <w:t>Adaptation</w:t>
      </w:r>
      <w:proofErr w:type="spellEnd"/>
      <w:r>
        <w:t xml:space="preserve"> (</w:t>
      </w:r>
      <w:proofErr w:type="spellStart"/>
      <w:r>
        <w:t>LoRA</w:t>
      </w:r>
      <w:proofErr w:type="spellEnd"/>
      <w:r>
        <w:t xml:space="preserve">), propuesta por </w:t>
      </w:r>
      <w:proofErr w:type="spellStart"/>
      <w:r>
        <w:t>Hu</w:t>
      </w:r>
      <w:proofErr w:type="spellEnd"/>
      <w:r>
        <w:t xml:space="preserve"> et al. (2022), que inserta matrices de bajo rango en las capas de atención del </w:t>
      </w:r>
      <w:proofErr w:type="spellStart"/>
      <w:r>
        <w:rPr>
          <w:i/>
        </w:rPr>
        <w:t>Transformer</w:t>
      </w:r>
      <w:proofErr w:type="spellEnd"/>
      <w:r>
        <w:t xml:space="preserve"> y entrena únicamente esos parámetros adicionales, preservando congelados los pesos originales del modelo </w:t>
      </w:r>
      <w:proofErr w:type="spellStart"/>
      <w:r>
        <w:lastRenderedPageBreak/>
        <w:t>preentrenado</w:t>
      </w:r>
      <w:proofErr w:type="spellEnd"/>
      <w:r>
        <w:t xml:space="preserve">. Variantes más recientes como </w:t>
      </w:r>
      <w:proofErr w:type="spellStart"/>
      <w:r>
        <w:t>QLoRA</w:t>
      </w:r>
      <w:proofErr w:type="spellEnd"/>
      <w:r>
        <w:t xml:space="preserve"> (Dettmers et al., 2023) y </w:t>
      </w:r>
      <w:proofErr w:type="spellStart"/>
      <w:r>
        <w:t>DoRA</w:t>
      </w:r>
      <w:proofErr w:type="spellEnd"/>
      <w:r>
        <w:t xml:space="preserve"> (Liu et al., 2024) amplían las capacidades de </w:t>
      </w:r>
      <w:proofErr w:type="spellStart"/>
      <w:r>
        <w:t>LoRA</w:t>
      </w:r>
      <w:proofErr w:type="spellEnd"/>
      <w:r>
        <w:t xml:space="preserve"> en escenarios de recursos computacionales limitados o de mayor demanda de calidad.</w:t>
      </w:r>
    </w:p>
    <w:p w14:paraId="577E3AC2" w14:textId="77777777" w:rsidR="00636E09" w:rsidRDefault="00226D26">
      <w:r>
        <w:t xml:space="preserve">La recuperación aumentada o </w:t>
      </w:r>
      <w:proofErr w:type="spellStart"/>
      <w:r>
        <w:rPr>
          <w:i/>
        </w:rPr>
        <w:t>Retrieval-Augmented</w:t>
      </w:r>
      <w:proofErr w:type="spellEnd"/>
      <w:r>
        <w:rPr>
          <w:i/>
        </w:rPr>
        <w:t xml:space="preserve"> </w:t>
      </w:r>
      <w:proofErr w:type="spellStart"/>
      <w:r>
        <w:rPr>
          <w:i/>
        </w:rPr>
        <w:t>Generation</w:t>
      </w:r>
      <w:proofErr w:type="spellEnd"/>
      <w:r>
        <w:t xml:space="preserve"> (RAG) es un paradigma arquitectural introducido originalmente por Lewis et al. (2020) para tareas intensivas en conocimiento, como la respuesta a preguntas de dominio abierto, que combina un generador neuronal con un mecanismo de recuperación de información. Ante una entrada dada, el sistema recupera fragmentos relevantes de una base de conocimiento externa mediante búsqueda por similitud (generalmente, vectorial con </w:t>
      </w:r>
      <w:proofErr w:type="spellStart"/>
      <w:r>
        <w:t>embeddings</w:t>
      </w:r>
      <w:proofErr w:type="spellEnd"/>
      <w:r>
        <w:t xml:space="preserve"> densos), los inyecta en el contexto del modelo generativo y produce la salida condicionada tanto a la entrada original como al material recuperado. La principal ventaja de RAG reside en que permite inyectar conocimiento específico del dominio sin necesidad de reentrenar el modelo, característica particularmente valiosa cuando los datos de entrenamiento son insuficientes para un ajuste fino tradicional.</w:t>
      </w:r>
    </w:p>
    <w:p w14:paraId="20A11BD7" w14:textId="77777777" w:rsidR="00636E09" w:rsidRDefault="00226D26">
      <w:r>
        <w:t xml:space="preserve">La aplicación de RAG específicamente al problema de la traducción automática es relativamente reciente. Wang et al. (2024) proponen </w:t>
      </w:r>
      <w:proofErr w:type="spellStart"/>
      <w:r>
        <w:t>RAGtrans</w:t>
      </w:r>
      <w:proofErr w:type="spellEnd"/>
      <w:r>
        <w:t xml:space="preserve"> como el primer </w:t>
      </w:r>
      <w:proofErr w:type="spellStart"/>
      <w:r>
        <w:rPr>
          <w:i/>
        </w:rPr>
        <w:t>benchmark</w:t>
      </w:r>
      <w:proofErr w:type="spellEnd"/>
      <w:r>
        <w:t xml:space="preserve"> explícitamente dirigido a evaluar sistemas de traducción con recuperación aumentada sobre conocimiento no estructurado. En el contexto de lenguas de bajos recursos, Chen et al. (2024) demostraron con el sistema </w:t>
      </w:r>
      <w:proofErr w:type="spellStart"/>
      <w:r>
        <w:t>QueEn</w:t>
      </w:r>
      <w:proofErr w:type="spellEnd"/>
      <w:r>
        <w:t xml:space="preserve"> que la combinación de RAG con un modelo ajustado mediante </w:t>
      </w:r>
      <w:proofErr w:type="spellStart"/>
      <w:r>
        <w:t>LoRA</w:t>
      </w:r>
      <w:proofErr w:type="spellEnd"/>
      <w:r>
        <w:t xml:space="preserve"> permite alcanzar mejoras sustanciales en la traducción </w:t>
      </w:r>
      <w:proofErr w:type="gramStart"/>
      <w:r>
        <w:t>Quechua</w:t>
      </w:r>
      <w:proofErr w:type="gramEnd"/>
      <w:r>
        <w:t>-</w:t>
      </w:r>
      <w:proofErr w:type="gramStart"/>
      <w:r>
        <w:t>Inglés</w:t>
      </w:r>
      <w:proofErr w:type="gramEnd"/>
      <w:r>
        <w:t xml:space="preserve">, con incrementos documentados de entre 1.5 y 17.6 puntos BLEU según la configuración experimental. El presente </w:t>
      </w:r>
      <w:r w:rsidR="00ED122C">
        <w:t>trabajo</w:t>
      </w:r>
      <w:r>
        <w:t xml:space="preserve"> se inscribe en esta línea emergente de investigación, proponiendo una arquitectura RAG multi-índice específicamente diseñada para inyectar conocimiento lingüístico estructurado, léxico, gramatical y de ejemplos paralelos, en modelos de lenguaje de frontera operando sobre el par Inga-</w:t>
      </w:r>
      <w:proofErr w:type="gramStart"/>
      <w:r>
        <w:t>Español</w:t>
      </w:r>
      <w:proofErr w:type="gramEnd"/>
      <w:r>
        <w:t>.</w:t>
      </w:r>
    </w:p>
    <w:p w14:paraId="5FB5C824" w14:textId="77777777" w:rsidR="00636E09" w:rsidRDefault="049C66FE">
      <w:pPr>
        <w:pStyle w:val="Heading2"/>
      </w:pPr>
      <w:bookmarkStart w:id="31" w:name="_Toc230950253"/>
      <w:bookmarkStart w:id="32" w:name="_Toc233199066"/>
      <w:r>
        <w:lastRenderedPageBreak/>
        <w:t>Estado del arte</w:t>
      </w:r>
      <w:bookmarkEnd w:id="31"/>
      <w:bookmarkEnd w:id="32"/>
    </w:p>
    <w:p w14:paraId="5BCC0064" w14:textId="77777777" w:rsidR="00636E09" w:rsidRDefault="049C66FE">
      <w:pPr>
        <w:pStyle w:val="Heading3"/>
        <w:rPr>
          <w:b w:val="0"/>
          <w:bCs w:val="0"/>
        </w:rPr>
      </w:pPr>
      <w:bookmarkStart w:id="33" w:name="_Toc230950254"/>
      <w:bookmarkStart w:id="34" w:name="_Toc233199067"/>
      <w:r>
        <w:rPr>
          <w:b w:val="0"/>
          <w:bCs w:val="0"/>
        </w:rPr>
        <w:t>Procesamiento del lenguaje natural para lenguas indígenas de América Latina</w:t>
      </w:r>
      <w:bookmarkEnd w:id="33"/>
      <w:bookmarkEnd w:id="34"/>
    </w:p>
    <w:p w14:paraId="3C37EB13" w14:textId="77777777" w:rsidR="00636E09" w:rsidRDefault="00226D26">
      <w:r>
        <w:t>El panorama general del procesamiento del lenguaje natural aplicado a lenguas indígenas de América Latina fue recientemente sistematizado por Tonja et al. (2024), quienes analizaron los avances y retos en más de treinta lenguas pertenecientes a familias como la quechua, la tupí-guaraní, la náhuatl-</w:t>
      </w:r>
      <w:proofErr w:type="spellStart"/>
      <w:r>
        <w:t>uto</w:t>
      </w:r>
      <w:proofErr w:type="spellEnd"/>
      <w:r>
        <w:t xml:space="preserve">-azteca, la maya y la </w:t>
      </w:r>
      <w:proofErr w:type="spellStart"/>
      <w:r>
        <w:t>aymara</w:t>
      </w:r>
      <w:proofErr w:type="spellEnd"/>
      <w:r>
        <w:t xml:space="preserve">. El estudio identificó tres patrones recurrentes: la severa escasez de corpus paralelos publicados, la ausencia de estandarización ortográfica que dificulta el procesamiento automático, y la concentración de la mayoría del esfuerzo investigador en un subconjunto reducido de lenguas (principalmente </w:t>
      </w:r>
      <w:proofErr w:type="gramStart"/>
      <w:r>
        <w:t>Quechua</w:t>
      </w:r>
      <w:proofErr w:type="gramEnd"/>
      <w:r>
        <w:t xml:space="preserve">, </w:t>
      </w:r>
      <w:proofErr w:type="gramStart"/>
      <w:r>
        <w:t>Guaraní</w:t>
      </w:r>
      <w:proofErr w:type="gramEnd"/>
      <w:r>
        <w:t xml:space="preserve"> y </w:t>
      </w:r>
      <w:proofErr w:type="spellStart"/>
      <w:r>
        <w:t>Nahuatl</w:t>
      </w:r>
      <w:proofErr w:type="spellEnd"/>
      <w:r>
        <w:t>), con cobertura residual para el resto.</w:t>
      </w:r>
    </w:p>
    <w:p w14:paraId="4841FD36" w14:textId="77777777" w:rsidR="00636E09" w:rsidRDefault="00226D26">
      <w:r>
        <w:t xml:space="preserve">El principal foro canalizador de la investigación específica en traducción automática para lenguas indígenas de América es el taller </w:t>
      </w:r>
      <w:r>
        <w:rPr>
          <w:i/>
        </w:rPr>
        <w:t xml:space="preserve">Workshop </w:t>
      </w:r>
      <w:proofErr w:type="spellStart"/>
      <w:r>
        <w:rPr>
          <w:i/>
        </w:rPr>
        <w:t>on</w:t>
      </w:r>
      <w:proofErr w:type="spellEnd"/>
      <w:r>
        <w:rPr>
          <w:i/>
        </w:rPr>
        <w:t xml:space="preserve"> NLP </w:t>
      </w:r>
      <w:proofErr w:type="spellStart"/>
      <w:r>
        <w:rPr>
          <w:i/>
        </w:rPr>
        <w:t>for</w:t>
      </w:r>
      <w:proofErr w:type="spellEnd"/>
      <w:r>
        <w:rPr>
          <w:i/>
        </w:rPr>
        <w:t xml:space="preserve"> </w:t>
      </w:r>
      <w:proofErr w:type="spellStart"/>
      <w:r>
        <w:rPr>
          <w:i/>
        </w:rPr>
        <w:t>Indigenous</w:t>
      </w:r>
      <w:proofErr w:type="spellEnd"/>
      <w:r>
        <w:rPr>
          <w:i/>
        </w:rPr>
        <w:t xml:space="preserve"> </w:t>
      </w:r>
      <w:proofErr w:type="spellStart"/>
      <w:r>
        <w:rPr>
          <w:i/>
        </w:rPr>
        <w:t>Languages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Americas</w:t>
      </w:r>
      <w:r>
        <w:t xml:space="preserve"> (</w:t>
      </w:r>
      <w:proofErr w:type="spellStart"/>
      <w:r>
        <w:t>AmericasNLP</w:t>
      </w:r>
      <w:proofErr w:type="spellEnd"/>
      <w:r>
        <w:t>), organizado desde 2021 como evento satélite de NAACL. La cuarta edición del taller, celebrada en 2024, organizó una tarea compartida centrada en traducción español a lenguas indígenas cubriendo once pares lingüísticos, cuyos resultados y análisis fueron publicados por Ebrahimi et al. (2024). La quinta edición, correspondiente a 2025, amplió el alcance a la creación de material educativo y al desarrollo de métricas específicas para lenguas indígenas (de Gibert et al., 2025), consolidando un conjunto estandarizado de corpus, líneas base y protocolos de evaluación que constituyen el estado del arte actual en el campo.</w:t>
      </w:r>
    </w:p>
    <w:p w14:paraId="269BDB22" w14:textId="77777777" w:rsidR="00636E09" w:rsidRDefault="00226D26">
      <w:r>
        <w:t xml:space="preserve">Un aspecto transversal a estos trabajos es la discusión sobre las implicaciones éticas y comunitarias del uso de tecnologías de traducción automática aplicadas a lenguas indígenas. Mager et al. (2023) sistematizaron en el marco de ACL las consideraciones éticas específicas de esta línea de investigación, enfatizando la importancia de la participación comunitaria, el consentimiento informado y el retorno de los beneficios a las comunidades hablantes. El presente </w:t>
      </w:r>
      <w:r w:rsidR="00ED122C">
        <w:t>trabajo</w:t>
      </w:r>
      <w:r>
        <w:t xml:space="preserve"> asume estos principios como parte integral de su diseño, tal como se detalla en el marco normativo y en la sección de organización del trabajo.</w:t>
      </w:r>
    </w:p>
    <w:p w14:paraId="44326B03" w14:textId="77777777" w:rsidR="00636E09" w:rsidRDefault="049C66FE">
      <w:pPr>
        <w:pStyle w:val="Heading3"/>
        <w:rPr>
          <w:b w:val="0"/>
          <w:bCs w:val="0"/>
        </w:rPr>
      </w:pPr>
      <w:bookmarkStart w:id="35" w:name="_Toc230950255"/>
      <w:bookmarkStart w:id="36" w:name="_Toc233199068"/>
      <w:r>
        <w:rPr>
          <w:b w:val="0"/>
          <w:bCs w:val="0"/>
        </w:rPr>
        <w:lastRenderedPageBreak/>
        <w:t>Traducción automática de lenguas indígenas colombianas</w:t>
      </w:r>
      <w:bookmarkEnd w:id="35"/>
      <w:bookmarkEnd w:id="36"/>
    </w:p>
    <w:p w14:paraId="5D402CC0" w14:textId="77777777" w:rsidR="00636E09" w:rsidRDefault="00226D26">
      <w:r>
        <w:t xml:space="preserve">El estado del arte específico para lenguas indígenas colombianas es particularmente escaso. La primera contribución académica documentada que incluye explícitamente al Inga entre sus lenguas objetivo corresponde a Prieto et al. (2024) del equipo investigador de la Universidad de los Andes. En dicho trabajo, presentado en el taller </w:t>
      </w:r>
      <w:proofErr w:type="spellStart"/>
      <w:r>
        <w:t>AmericasNLP</w:t>
      </w:r>
      <w:proofErr w:type="spellEnd"/>
      <w:r>
        <w:t xml:space="preserve"> 2024, los autores construyeron el primer corpus paralelo multilingüe para lenguas indígenas colombianas a partir de fuentes como la Biblia, la Constitución Política y materiales pedagógicos, y aplicaron transfer </w:t>
      </w:r>
      <w:proofErr w:type="spellStart"/>
      <w:r>
        <w:t>learning</w:t>
      </w:r>
      <w:proofErr w:type="spellEnd"/>
      <w:r>
        <w:t xml:space="preserve"> desde el modelo NLLB-200 a cuatro pares: </w:t>
      </w:r>
      <w:proofErr w:type="gramStart"/>
      <w:r>
        <w:t>Español</w:t>
      </w:r>
      <w:proofErr w:type="gramEnd"/>
      <w:r>
        <w:t>-</w:t>
      </w:r>
      <w:proofErr w:type="spellStart"/>
      <w:r>
        <w:t>Wayuunaiki</w:t>
      </w:r>
      <w:proofErr w:type="spellEnd"/>
      <w:r>
        <w:t xml:space="preserve">, </w:t>
      </w:r>
      <w:proofErr w:type="gramStart"/>
      <w:r>
        <w:t>Español</w:t>
      </w:r>
      <w:proofErr w:type="gramEnd"/>
      <w:r>
        <w:t>-</w:t>
      </w:r>
      <w:proofErr w:type="spellStart"/>
      <w:r>
        <w:t>Arhuaco</w:t>
      </w:r>
      <w:proofErr w:type="spellEnd"/>
      <w:r>
        <w:t xml:space="preserve">, </w:t>
      </w:r>
      <w:proofErr w:type="gramStart"/>
      <w:r>
        <w:t>Español</w:t>
      </w:r>
      <w:proofErr w:type="gramEnd"/>
      <w:r>
        <w:t xml:space="preserve">-Inga y </w:t>
      </w:r>
      <w:proofErr w:type="gramStart"/>
      <w:r>
        <w:t>Español</w:t>
      </w:r>
      <w:proofErr w:type="gramEnd"/>
      <w:r>
        <w:t>-</w:t>
      </w:r>
      <w:proofErr w:type="spellStart"/>
      <w:r>
        <w:t>Kamsá</w:t>
      </w:r>
      <w:proofErr w:type="spellEnd"/>
      <w:r>
        <w:t>. Los resultados reportados mostraron la viabilidad técnica del enfoque, aunque con valores BLEU modestos consistentes con la severa escasez de datos (BLEU entre 2 y 10 puntos según el par).</w:t>
      </w:r>
    </w:p>
    <w:p w14:paraId="0201B9B7" w14:textId="77777777" w:rsidR="00636E09" w:rsidRDefault="00226D26">
      <w:r>
        <w:t xml:space="preserve">El trabajo de Prieto et al. (2024) fue extendido posteriormente por un equipo relacionado: Salazar, Manrique y Pereira Nunes (2025) publicaron en la revista </w:t>
      </w:r>
      <w:r>
        <w:rPr>
          <w:i/>
        </w:rPr>
        <w:t xml:space="preserve">SN </w:t>
      </w:r>
      <w:proofErr w:type="spellStart"/>
      <w:r>
        <w:rPr>
          <w:i/>
        </w:rPr>
        <w:t>Computer</w:t>
      </w:r>
      <w:proofErr w:type="spellEnd"/>
      <w:r>
        <w:rPr>
          <w:i/>
        </w:rPr>
        <w:t xml:space="preserve"> </w:t>
      </w:r>
      <w:proofErr w:type="spellStart"/>
      <w:r>
        <w:rPr>
          <w:i/>
        </w:rPr>
        <w:t>Science</w:t>
      </w:r>
      <w:proofErr w:type="spellEnd"/>
      <w:r>
        <w:t xml:space="preserve"> un análisis más amplio de estrategias de traducción automática para las mismas lenguas, incorporando técnicas adicionales como el ajuste fino eficiente en parámetros y la augmentación sintética de datos. Ambos trabajos constituyen los antecedentes académicos directos del presente </w:t>
      </w:r>
      <w:r w:rsidR="00ED122C">
        <w:t>trabajo</w:t>
      </w:r>
      <w:r>
        <w:t xml:space="preserve"> y definen la línea base contra la cual se compararán los resultados finales del proyecto.</w:t>
      </w:r>
    </w:p>
    <w:p w14:paraId="173E4D8B" w14:textId="77777777" w:rsidR="00636E09" w:rsidRDefault="00226D26">
      <w:r>
        <w:t xml:space="preserve">Un aporte metodológico del presente trabajo respecto a estos antecedentes consiste en la cobertura explícita de las dos variantes dialectales principales del Inga, Alto Putumayo y Medio Putumayo, distinción que ninguno de los trabajos previos aborda explícitamente. Esta cobertura se sustenta en la incorporación de fuentes primarias específicas de cada dialecto: el </w:t>
      </w:r>
      <w:r>
        <w:rPr>
          <w:i/>
        </w:rPr>
        <w:t>Diccionario Inga</w:t>
      </w:r>
      <w:r>
        <w:t xml:space="preserve"> (Tandioy Jansasoy et al., 1997) con sus marcadores dialectales, la </w:t>
      </w:r>
      <w:r>
        <w:rPr>
          <w:i/>
        </w:rPr>
        <w:t>Gramática Pedagógica del Inga</w:t>
      </w:r>
      <w:r>
        <w:t xml:space="preserve"> de Levinsohn y </w:t>
      </w:r>
      <w:proofErr w:type="spellStart"/>
      <w:r>
        <w:t>Mongui</w:t>
      </w:r>
      <w:proofErr w:type="spellEnd"/>
      <w:r>
        <w:t xml:space="preserve"> centrada principalmente en el Alto Putumayo, y la cartilla </w:t>
      </w:r>
      <w:proofErr w:type="spellStart"/>
      <w:r>
        <w:rPr>
          <w:i/>
        </w:rPr>
        <w:t>Antihua</w:t>
      </w:r>
      <w:proofErr w:type="spellEnd"/>
      <w:r>
        <w:rPr>
          <w:i/>
        </w:rPr>
        <w:t xml:space="preserve"> Pacay </w:t>
      </w:r>
      <w:proofErr w:type="spellStart"/>
      <w:r>
        <w:rPr>
          <w:i/>
        </w:rPr>
        <w:t>Gentecunapa</w:t>
      </w:r>
      <w:proofErr w:type="spellEnd"/>
      <w:r>
        <w:rPr>
          <w:i/>
        </w:rPr>
        <w:t xml:space="preserve"> </w:t>
      </w:r>
      <w:proofErr w:type="spellStart"/>
      <w:r>
        <w:rPr>
          <w:i/>
        </w:rPr>
        <w:t>Parlocuna</w:t>
      </w:r>
      <w:proofErr w:type="spellEnd"/>
      <w:r>
        <w:t xml:space="preserve"> (Jamioy Yanangona de Peña, 1985) que documenta narrativas del Medio Putumayo. El detalle de estos recursos y de su procesamiento se presenta en el Capítulo 4.</w:t>
      </w:r>
    </w:p>
    <w:p w14:paraId="4C31797B" w14:textId="77777777" w:rsidR="00636E09" w:rsidRDefault="049C66FE">
      <w:pPr>
        <w:pStyle w:val="Heading3"/>
        <w:rPr>
          <w:b w:val="0"/>
          <w:bCs w:val="0"/>
        </w:rPr>
      </w:pPr>
      <w:bookmarkStart w:id="37" w:name="_Toc230950256"/>
      <w:bookmarkStart w:id="38" w:name="_Toc233199069"/>
      <w:r>
        <w:rPr>
          <w:b w:val="0"/>
          <w:bCs w:val="0"/>
        </w:rPr>
        <w:lastRenderedPageBreak/>
        <w:t xml:space="preserve">Traducción automática para </w:t>
      </w:r>
      <w:proofErr w:type="gramStart"/>
      <w:r>
        <w:rPr>
          <w:b w:val="0"/>
          <w:bCs w:val="0"/>
        </w:rPr>
        <w:t>Quechua</w:t>
      </w:r>
      <w:proofErr w:type="gramEnd"/>
      <w:r>
        <w:rPr>
          <w:b w:val="0"/>
          <w:bCs w:val="0"/>
        </w:rPr>
        <w:t>: el caso cercano al Inga</w:t>
      </w:r>
      <w:bookmarkEnd w:id="37"/>
      <w:bookmarkEnd w:id="38"/>
    </w:p>
    <w:p w14:paraId="210E4611" w14:textId="77777777" w:rsidR="00636E09" w:rsidRDefault="00226D26">
      <w:r>
        <w:t xml:space="preserve">Dado que el Inga pertenece a la familia lingüística quechua, los avances recientes en traducción automática para variantes del </w:t>
      </w:r>
      <w:proofErr w:type="gramStart"/>
      <w:r>
        <w:t>Quechua</w:t>
      </w:r>
      <w:proofErr w:type="gramEnd"/>
      <w:r>
        <w:t xml:space="preserve"> constituyen el antecedente técnico más directamente transferible al presente proyecto. Esta sección sintetiza los trabajos más relevantes publicados entre 2024 y 2026.</w:t>
      </w:r>
    </w:p>
    <w:p w14:paraId="3BA2C09C" w14:textId="77777777" w:rsidR="00636E09" w:rsidRDefault="00226D26">
      <w:r>
        <w:t xml:space="preserve">Chen et al. (2024) presentaron </w:t>
      </w:r>
      <w:proofErr w:type="spellStart"/>
      <w:r>
        <w:rPr>
          <w:b/>
        </w:rPr>
        <w:t>QueEn</w:t>
      </w:r>
      <w:proofErr w:type="spellEnd"/>
      <w:r>
        <w:t xml:space="preserve">, un sistema de traducción </w:t>
      </w:r>
      <w:proofErr w:type="gramStart"/>
      <w:r>
        <w:t>Quechua</w:t>
      </w:r>
      <w:proofErr w:type="gramEnd"/>
      <w:r>
        <w:t>-</w:t>
      </w:r>
      <w:proofErr w:type="gramStart"/>
      <w:r>
        <w:t>Inglés</w:t>
      </w:r>
      <w:proofErr w:type="gramEnd"/>
      <w:r>
        <w:t xml:space="preserve"> que combina recuperación aumentada con ajuste fino mediante </w:t>
      </w:r>
      <w:proofErr w:type="spellStart"/>
      <w:r>
        <w:t>LoRA</w:t>
      </w:r>
      <w:proofErr w:type="spellEnd"/>
      <w:r>
        <w:t xml:space="preserve"> sobre un modelo de lenguaje grande. Los autores reportaron mejoras en BLEU de entre 1.5 y 17.6 puntos respecto a líneas base estándar, según la configuración experimental. Este trabajo constituye el antecedente metodológico más próximo al presente </w:t>
      </w:r>
      <w:r w:rsidR="00ED122C">
        <w:t>trabajo</w:t>
      </w:r>
      <w:r>
        <w:t xml:space="preserve">, dado que combina las dos técnicas </w:t>
      </w:r>
      <w:r w:rsidR="00ED122C">
        <w:t>centrales,</w:t>
      </w:r>
      <w:r>
        <w:t xml:space="preserve"> </w:t>
      </w:r>
      <w:proofErr w:type="spellStart"/>
      <w:r>
        <w:t>LoRA</w:t>
      </w:r>
      <w:proofErr w:type="spellEnd"/>
      <w:r>
        <w:t xml:space="preserve"> y RAG, sobre una lengua quechua. La principal diferencia metodológica es que </w:t>
      </w:r>
      <w:proofErr w:type="spellStart"/>
      <w:r>
        <w:t>QueEn</w:t>
      </w:r>
      <w:proofErr w:type="spellEnd"/>
      <w:r>
        <w:t xml:space="preserve"> utiliza una base de conocimiento unificada, mientras que el presente </w:t>
      </w:r>
      <w:r w:rsidR="00ED122C">
        <w:t>trabajo</w:t>
      </w:r>
      <w:r>
        <w:t xml:space="preserve"> propone una base multi-índice con separación explícita entre el conocimiento léxico, gramatical y de ejemplos paralelos.</w:t>
      </w:r>
    </w:p>
    <w:p w14:paraId="6DC3F09E" w14:textId="77777777" w:rsidR="00636E09" w:rsidRDefault="00226D26">
      <w:proofErr w:type="spellStart"/>
      <w:r>
        <w:t>Garcia</w:t>
      </w:r>
      <w:proofErr w:type="spellEnd"/>
      <w:r>
        <w:t xml:space="preserve"> Gilabert et al. (2024), del Barcelona </w:t>
      </w:r>
      <w:proofErr w:type="spellStart"/>
      <w:r>
        <w:t>Supercomputing</w:t>
      </w:r>
      <w:proofErr w:type="spellEnd"/>
      <w:r>
        <w:t xml:space="preserve"> Center (BSC), presentaron en </w:t>
      </w:r>
      <w:proofErr w:type="spellStart"/>
      <w:r>
        <w:t>AmericasNLP</w:t>
      </w:r>
      <w:proofErr w:type="spellEnd"/>
      <w:r>
        <w:t xml:space="preserve"> 2024 la </w:t>
      </w:r>
      <w:proofErr w:type="spellStart"/>
      <w:r>
        <w:t>submissión</w:t>
      </w:r>
      <w:proofErr w:type="spellEnd"/>
      <w:r>
        <w:t xml:space="preserve"> ganadora para los pares </w:t>
      </w:r>
      <w:proofErr w:type="gramStart"/>
      <w:r>
        <w:t>Español</w:t>
      </w:r>
      <w:proofErr w:type="gramEnd"/>
      <w:r>
        <w:t>-</w:t>
      </w:r>
      <w:proofErr w:type="gramStart"/>
      <w:r>
        <w:t>Quechua</w:t>
      </w:r>
      <w:proofErr w:type="gramEnd"/>
      <w:r>
        <w:t xml:space="preserve"> y </w:t>
      </w:r>
      <w:proofErr w:type="gramStart"/>
      <w:r>
        <w:t>Español</w:t>
      </w:r>
      <w:proofErr w:type="gramEnd"/>
      <w:r>
        <w:t>-</w:t>
      </w:r>
      <w:proofErr w:type="gramStart"/>
      <w:r>
        <w:t>Guaraní</w:t>
      </w:r>
      <w:proofErr w:type="gramEnd"/>
      <w:r>
        <w:t xml:space="preserve">. Su propuesta consistió en el ajuste fino de NLLB-200 mediante adaptadores </w:t>
      </w:r>
      <w:proofErr w:type="spellStart"/>
      <w:r>
        <w:t>LoRA</w:t>
      </w:r>
      <w:proofErr w:type="spellEnd"/>
      <w:r>
        <w:t xml:space="preserve">, entrenando únicamente el 14.2% de los parámetros del modelo original. Este resultado constituye evidencia empírica directa de la viabilidad del enfoque adoptado en el presente </w:t>
      </w:r>
      <w:r w:rsidR="00ED122C">
        <w:t>trabajo de investigación</w:t>
      </w:r>
      <w:r>
        <w:t xml:space="preserve">: demuestra que la arquitectura </w:t>
      </w:r>
      <w:proofErr w:type="spellStart"/>
      <w:r>
        <w:t>NLLB+LoRA</w:t>
      </w:r>
      <w:proofErr w:type="spellEnd"/>
      <w:r>
        <w:t xml:space="preserve"> es competitiva en el estado del arte para una lengua quechua con cantidades de datos similares a las disponibles para el Inga, y que es factible ejecutarla con recursos computacionales moderados.</w:t>
      </w:r>
    </w:p>
    <w:p w14:paraId="10F2D656" w14:textId="77777777" w:rsidR="00636E09" w:rsidRDefault="00226D26">
      <w:r>
        <w:t xml:space="preserve">Attieh et al. (2024) presentaron, también en </w:t>
      </w:r>
      <w:proofErr w:type="spellStart"/>
      <w:r>
        <w:t>AmericasNLP</w:t>
      </w:r>
      <w:proofErr w:type="spellEnd"/>
      <w:r>
        <w:t xml:space="preserve"> 2024, la </w:t>
      </w:r>
      <w:proofErr w:type="spellStart"/>
      <w:r>
        <w:t>submissión</w:t>
      </w:r>
      <w:proofErr w:type="spellEnd"/>
      <w:r>
        <w:t xml:space="preserve"> </w:t>
      </w:r>
      <w:proofErr w:type="spellStart"/>
      <w:r>
        <w:t>NordicsAlps</w:t>
      </w:r>
      <w:proofErr w:type="spellEnd"/>
      <w:r>
        <w:t xml:space="preserve">, que obtuvo el mejor </w:t>
      </w:r>
      <w:proofErr w:type="spellStart"/>
      <w:r>
        <w:t>chrF</w:t>
      </w:r>
      <w:proofErr w:type="spellEnd"/>
      <w:r>
        <w:t xml:space="preserve">++ promedio en múltiples pares lingüísticos. Su contribución principal fue metodológica: demostraron el impacto positivo de la </w:t>
      </w:r>
      <w:proofErr w:type="spellStart"/>
      <w:r>
        <w:t>tokenización</w:t>
      </w:r>
      <w:proofErr w:type="spellEnd"/>
      <w:r>
        <w:t xml:space="preserve"> a nivel de bytes (</w:t>
      </w:r>
      <w:r>
        <w:rPr>
          <w:i/>
        </w:rPr>
        <w:t>byte-</w:t>
      </w:r>
      <w:proofErr w:type="spellStart"/>
      <w:r>
        <w:rPr>
          <w:i/>
        </w:rPr>
        <w:t>level</w:t>
      </w:r>
      <w:proofErr w:type="spellEnd"/>
      <w:r>
        <w:t>) para lenguas aglutinantes, propiedad compartida por todas las lenguas quechuas incluido el Inga. Este hallazgo orienta las decisiones de preprocesamiento del presente proyecto.</w:t>
      </w:r>
    </w:p>
    <w:p w14:paraId="4F155B29" w14:textId="77777777" w:rsidR="00636E09" w:rsidRDefault="00226D26">
      <w:r>
        <w:lastRenderedPageBreak/>
        <w:t xml:space="preserve">DeGenaro y Lupicki (2024) exploraron en la misma edición del taller el contraste entre arquitecturas </w:t>
      </w:r>
      <w:proofErr w:type="spellStart"/>
      <w:r>
        <w:rPr>
          <w:i/>
        </w:rPr>
        <w:t>Transformer</w:t>
      </w:r>
      <w:proofErr w:type="spellEnd"/>
      <w:r>
        <w:t xml:space="preserve"> tradicionales y arquitecturas de estado-espacio como Mamba para traducción de lenguas indígenas. Aunque los resultados no superaron al ajuste fino convencional sobre NLLB-200, el estudio aporta información valiosa sobre la viabilidad de arquitecturas alternativas.</w:t>
      </w:r>
    </w:p>
    <w:p w14:paraId="01571D66" w14:textId="77777777" w:rsidR="00636E09" w:rsidRDefault="00226D26">
      <w:r>
        <w:t xml:space="preserve">Más recientemente, Dhawan et al. (2026) publicaron una investigación sobre mejoras en la traducción automática de lenguas indígenas mediante datos sintéticos y preprocesamiento específico por lengua, con experimentos sobre </w:t>
      </w:r>
      <w:proofErr w:type="gramStart"/>
      <w:r>
        <w:t>Guaraní</w:t>
      </w:r>
      <w:proofErr w:type="gramEnd"/>
      <w:r>
        <w:t xml:space="preserve">, </w:t>
      </w:r>
      <w:proofErr w:type="gramStart"/>
      <w:r>
        <w:t>Quechua</w:t>
      </w:r>
      <w:proofErr w:type="gramEnd"/>
      <w:r>
        <w:t xml:space="preserve"> y Aymara. Sus hallazgos sobre normalización ortográfica y filtrado de ruido son particularmente aplicables al corpus Inga, que presenta heterogeneidades ortográficas por provenir de fuentes editadas en distintas épocas y bajo distintos acuerdos de alfabeto.</w:t>
      </w:r>
    </w:p>
    <w:p w14:paraId="060F7BF2" w14:textId="77777777" w:rsidR="00636E09" w:rsidRDefault="00226D26">
      <w:r>
        <w:t xml:space="preserve">En conjunto, estos trabajos demuestran que el par tecnológico central del presente </w:t>
      </w:r>
      <w:r w:rsidR="00ED122C">
        <w:t>trabajo</w:t>
      </w:r>
      <w:r>
        <w:t xml:space="preserve">, </w:t>
      </w:r>
      <w:r w:rsidR="00ED122C">
        <w:t>fine-tuning</w:t>
      </w:r>
      <w:r>
        <w:t xml:space="preserve"> eficiente sobre NLLB-200 más estrategias complementarias de recuperación aumentada, es una aproximación viable y alineada con el estado del arte para lenguas de la familia quechua.</w:t>
      </w:r>
    </w:p>
    <w:p w14:paraId="1B1294A3" w14:textId="77777777" w:rsidR="00636E09" w:rsidRDefault="049C66FE">
      <w:pPr>
        <w:pStyle w:val="Heading3"/>
        <w:rPr>
          <w:b w:val="0"/>
          <w:bCs w:val="0"/>
        </w:rPr>
      </w:pPr>
      <w:bookmarkStart w:id="39" w:name="_Toc230950257"/>
      <w:bookmarkStart w:id="40" w:name="_Toc233199070"/>
      <w:r>
        <w:rPr>
          <w:b w:val="0"/>
          <w:bCs w:val="0"/>
        </w:rPr>
        <w:t>Modelos de lenguaje de frontera para traducción</w:t>
      </w:r>
      <w:bookmarkEnd w:id="39"/>
      <w:bookmarkEnd w:id="40"/>
    </w:p>
    <w:p w14:paraId="32DCE627" w14:textId="77777777" w:rsidR="00636E09" w:rsidRDefault="00226D26">
      <w:r>
        <w:t>La emergencia de modelos de lenguaje de frontera (</w:t>
      </w:r>
      <w:proofErr w:type="spellStart"/>
      <w:r>
        <w:rPr>
          <w:i/>
        </w:rPr>
        <w:t>frontier</w:t>
      </w:r>
      <w:proofErr w:type="spellEnd"/>
      <w:r>
        <w:rPr>
          <w:i/>
        </w:rPr>
        <w:t xml:space="preserve"> </w:t>
      </w:r>
      <w:proofErr w:type="spellStart"/>
      <w:r>
        <w:rPr>
          <w:i/>
        </w:rPr>
        <w:t>LLMs</w:t>
      </w:r>
      <w:proofErr w:type="spellEnd"/>
      <w:r>
        <w:t xml:space="preserve">) con capacidades multilingües ha transformado el panorama de la traducción automática desde 2023. A diferencia de los sistemas de traducción neuronal especializados, como NLLB-200, los </w:t>
      </w:r>
      <w:proofErr w:type="spellStart"/>
      <w:r>
        <w:t>LLMs</w:t>
      </w:r>
      <w:proofErr w:type="spellEnd"/>
      <w:r>
        <w:t xml:space="preserve"> abordan la traducción como un caso particular de generación condicionada mediante </w:t>
      </w:r>
      <w:proofErr w:type="spellStart"/>
      <w:r>
        <w:rPr>
          <w:i/>
        </w:rPr>
        <w:t>prompting</w:t>
      </w:r>
      <w:proofErr w:type="spellEnd"/>
      <w:r>
        <w:t xml:space="preserve"> en lenguaje natural, lo que habilita aproximaciones </w:t>
      </w:r>
      <w:proofErr w:type="spellStart"/>
      <w:r>
        <w:rPr>
          <w:i/>
        </w:rPr>
        <w:t>zero-shot</w:t>
      </w:r>
      <w:proofErr w:type="spellEnd"/>
      <w:r>
        <w:t xml:space="preserve">, </w:t>
      </w:r>
      <w:proofErr w:type="spellStart"/>
      <w:r>
        <w:rPr>
          <w:i/>
        </w:rPr>
        <w:t>few-shot</w:t>
      </w:r>
      <w:proofErr w:type="spellEnd"/>
      <w:r>
        <w:t xml:space="preserve"> y con recuperación aumentada. La literatura reciente ha documentado tanto las fortalezas como las limitaciones de este paradigma para lenguas de bajos recursos.</w:t>
      </w:r>
    </w:p>
    <w:p w14:paraId="5F763973" w14:textId="77777777" w:rsidR="00636E09" w:rsidRDefault="00226D26">
      <w:r>
        <w:t xml:space="preserve">Hendy et al. (2023) realizaron una de las evaluaciones más comprehensivas iniciales sobre el desempeño de los modelos GPT en traducción automática, comparándolos con sistemas NMT dedicados a través de 18 pares lingüísticos. Sus resultados documentaron una brecha consistente en favor de los sistemas especializados en los escenarios de bajos recursos, aunque también señalaron que esta brecha se estrechaba significativamente conforme </w:t>
      </w:r>
      <w:r>
        <w:lastRenderedPageBreak/>
        <w:t xml:space="preserve">avanzaban las versiones de los </w:t>
      </w:r>
      <w:proofErr w:type="spellStart"/>
      <w:r>
        <w:t>LLMs</w:t>
      </w:r>
      <w:proofErr w:type="spellEnd"/>
      <w:r>
        <w:t xml:space="preserve">. Este patrón ha sido confirmado y extendido por trabajos posteriores: Zhu et al. (2024) publicaron en </w:t>
      </w:r>
      <w:proofErr w:type="spellStart"/>
      <w:r>
        <w:rPr>
          <w:i/>
        </w:rPr>
        <w:t>Findings</w:t>
      </w:r>
      <w:proofErr w:type="spellEnd"/>
      <w:r>
        <w:rPr>
          <w:i/>
        </w:rPr>
        <w:t xml:space="preserve"> </w:t>
      </w:r>
      <w:proofErr w:type="spellStart"/>
      <w:r>
        <w:rPr>
          <w:i/>
        </w:rPr>
        <w:t>of</w:t>
      </w:r>
      <w:proofErr w:type="spellEnd"/>
      <w:r>
        <w:rPr>
          <w:i/>
        </w:rPr>
        <w:t xml:space="preserve"> NAACL 2024</w:t>
      </w:r>
      <w:r>
        <w:t xml:space="preserve"> un análisis empírico sistemático de la traducción multilingüe con </w:t>
      </w:r>
      <w:proofErr w:type="spellStart"/>
      <w:r>
        <w:t>LLMs</w:t>
      </w:r>
      <w:proofErr w:type="spellEnd"/>
      <w:r>
        <w:t xml:space="preserve"> en el que confirman que la brecha persiste para lenguas extremadamente poco cubiertas en los datos de preentrenamiento, pero se reduce notablemente en presencia de pocos ejemplos en el </w:t>
      </w:r>
      <w:proofErr w:type="spellStart"/>
      <w:r>
        <w:rPr>
          <w:i/>
        </w:rPr>
        <w:t>prompt</w:t>
      </w:r>
      <w:proofErr w:type="spellEnd"/>
      <w:r>
        <w:t>.</w:t>
      </w:r>
    </w:p>
    <w:p w14:paraId="5586D9B7" w14:textId="77777777" w:rsidR="00636E09" w:rsidRDefault="00226D26">
      <w:r>
        <w:t xml:space="preserve">Una contribución particularmente relevante para el diseño del presente </w:t>
      </w:r>
      <w:r w:rsidR="00ED122C">
        <w:t>documento</w:t>
      </w:r>
      <w:r>
        <w:t xml:space="preserve"> es el trabajo de Enis y Hopkins (2024), que examinó específicamente las capacidades del modelo Claude de Anthropic en traducción de bajos recursos. Los autores documentaron que, entre los </w:t>
      </w:r>
      <w:proofErr w:type="spellStart"/>
      <w:r>
        <w:t>LLMs</w:t>
      </w:r>
      <w:proofErr w:type="spellEnd"/>
      <w:r>
        <w:t xml:space="preserve"> evaluados, Claude exhibió una "eficiencia de recursos" (</w:t>
      </w:r>
      <w:proofErr w:type="spellStart"/>
      <w:r>
        <w:rPr>
          <w:i/>
        </w:rPr>
        <w:t>resource</w:t>
      </w:r>
      <w:proofErr w:type="spellEnd"/>
      <w:r>
        <w:rPr>
          <w:i/>
        </w:rPr>
        <w:t xml:space="preserve"> </w:t>
      </w:r>
      <w:proofErr w:type="spellStart"/>
      <w:r>
        <w:rPr>
          <w:i/>
        </w:rPr>
        <w:t>efficiency</w:t>
      </w:r>
      <w:proofErr w:type="spellEnd"/>
      <w:r>
        <w:t>) diferencial: su calidad de traducción degrada menos que la de otros modelos comparables al pasar de lenguas de altos recursos a lenguas de bajos recursos. Este hallazgo motiva la elección de un modelo de lenguaje de frontera con propiedades similares como línea experimental complementaria al ajuste fino de NLLB en el presente trabajo.</w:t>
      </w:r>
    </w:p>
    <w:p w14:paraId="315B170D" w14:textId="77777777" w:rsidR="00636E09" w:rsidRDefault="00226D26">
      <w:r>
        <w:t xml:space="preserve">La literatura más reciente sobre </w:t>
      </w:r>
      <w:r>
        <w:rPr>
          <w:i/>
        </w:rPr>
        <w:t>in-</w:t>
      </w:r>
      <w:proofErr w:type="spellStart"/>
      <w:r>
        <w:rPr>
          <w:i/>
        </w:rPr>
        <w:t>context</w:t>
      </w:r>
      <w:proofErr w:type="spellEnd"/>
      <w:r>
        <w:rPr>
          <w:i/>
        </w:rPr>
        <w:t xml:space="preserve"> </w:t>
      </w:r>
      <w:proofErr w:type="spellStart"/>
      <w:r>
        <w:rPr>
          <w:i/>
        </w:rPr>
        <w:t>learning</w:t>
      </w:r>
      <w:proofErr w:type="spellEnd"/>
      <w:r>
        <w:t xml:space="preserve"> (ICL) en lenguas de bajos recursos ha sido sistematizada por </w:t>
      </w:r>
      <w:proofErr w:type="spellStart"/>
      <w:r>
        <w:t>Cahyawijaya</w:t>
      </w:r>
      <w:proofErr w:type="spellEnd"/>
      <w:r>
        <w:t xml:space="preserve">, Lovenia y Fung (2024), quienes demostraron en NAACL 2024 que los </w:t>
      </w:r>
      <w:proofErr w:type="spellStart"/>
      <w:r>
        <w:t>LLMs</w:t>
      </w:r>
      <w:proofErr w:type="spellEnd"/>
      <w:r>
        <w:t xml:space="preserve"> operan efectivamente como aprendices </w:t>
      </w:r>
      <w:proofErr w:type="spellStart"/>
      <w:r>
        <w:rPr>
          <w:i/>
        </w:rPr>
        <w:t>few-shot</w:t>
      </w:r>
      <w:proofErr w:type="spellEnd"/>
      <w:r>
        <w:t xml:space="preserve"> cuando se les proporcionan ejemplos cuidadosamente seleccionados, y que la selección por similitud semántica supera consistentemente a la selección aleatoria. Este resultado proporciona el fundamento teórico para el diseño del índice de ejemplos del sistema RAG propuesto en el Capítulo 3, que recupera oraciones paralelas Inga-</w:t>
      </w:r>
      <w:proofErr w:type="gramStart"/>
      <w:r>
        <w:t>Español</w:t>
      </w:r>
      <w:proofErr w:type="gramEnd"/>
      <w:r>
        <w:t xml:space="preserve"> similares a la entrada para inyectarlas como ejemplos </w:t>
      </w:r>
      <w:proofErr w:type="spellStart"/>
      <w:r>
        <w:rPr>
          <w:i/>
        </w:rPr>
        <w:t>few-shot</w:t>
      </w:r>
      <w:proofErr w:type="spellEnd"/>
      <w:r>
        <w:t xml:space="preserve"> al modelo de lenguaje.</w:t>
      </w:r>
    </w:p>
    <w:p w14:paraId="0E9011D6" w14:textId="77777777" w:rsidR="00636E09" w:rsidRDefault="049C66FE">
      <w:pPr>
        <w:pStyle w:val="Heading3"/>
        <w:rPr>
          <w:b w:val="0"/>
          <w:bCs w:val="0"/>
        </w:rPr>
      </w:pPr>
      <w:bookmarkStart w:id="41" w:name="_Toc230950258"/>
      <w:bookmarkStart w:id="42" w:name="_Toc233199071"/>
      <w:r>
        <w:rPr>
          <w:b w:val="0"/>
          <w:bCs w:val="0"/>
        </w:rPr>
        <w:t>Recuperación aumentada aplicada a traducción</w:t>
      </w:r>
      <w:bookmarkEnd w:id="41"/>
      <w:bookmarkEnd w:id="42"/>
    </w:p>
    <w:p w14:paraId="4808F67D" w14:textId="77777777" w:rsidR="00636E09" w:rsidRDefault="00226D26">
      <w:r>
        <w:t>La aplicación sistemática del paradigma de recuperación aumentada a la tarea específica de traducción automática es una línea de investigación emergente, con literatura concentrada principalmente en el bienio 2024-2025. El trabajo fundacional del paradigma RAG (Lewis et al., 2020) se propuso originalmente para tareas de dominio abierto intensivas en conocimiento factual, y su adaptación a traducción requiere diseños arquitecturales específicos que distintos autores han explorado recientemente.</w:t>
      </w:r>
    </w:p>
    <w:p w14:paraId="1AE4F8A6" w14:textId="77777777" w:rsidR="00636E09" w:rsidRDefault="00226D26">
      <w:r>
        <w:lastRenderedPageBreak/>
        <w:t xml:space="preserve">Wang et al. (2024) presentaron </w:t>
      </w:r>
      <w:proofErr w:type="spellStart"/>
      <w:r>
        <w:rPr>
          <w:b/>
        </w:rPr>
        <w:t>RAGtrans</w:t>
      </w:r>
      <w:proofErr w:type="spellEnd"/>
      <w:r>
        <w:t xml:space="preserve">, el primer </w:t>
      </w:r>
      <w:proofErr w:type="spellStart"/>
      <w:r>
        <w:rPr>
          <w:i/>
        </w:rPr>
        <w:t>benchmark</w:t>
      </w:r>
      <w:proofErr w:type="spellEnd"/>
      <w:r>
        <w:t xml:space="preserve"> específicamente diseñado para evaluar sistemas de traducción automática con recuperación aumentada sobre conocimiento no estructurado. Los autores demostraron que la incorporación de conocimiento recuperado mejora consistentemente la calidad de traducción en pares multilingües, especialmente en dominios especializados donde el vocabulario técnico está mal representado en los datos de entrenamiento. Este trabajo establece la validez del paradigma RAG-MT como línea de investigación independiente y proporciona un marco evaluativo transferible al presente proyecto.</w:t>
      </w:r>
    </w:p>
    <w:p w14:paraId="5D23A69C" w14:textId="77777777" w:rsidR="00636E09" w:rsidRDefault="00226D26">
      <w:r>
        <w:t xml:space="preserve">El trabajo de Chen et al. (2024) </w:t>
      </w:r>
      <w:proofErr w:type="spellStart"/>
      <w:r>
        <w:t>QueEn</w:t>
      </w:r>
      <w:proofErr w:type="spellEnd"/>
      <w:r>
        <w:t xml:space="preserve">, ya mencionado en la sección 2.2.3, constituye la aplicación más directa de RAG a una lengua quechua: combina recuperación de contexto relevante con ajuste fino mediante </w:t>
      </w:r>
      <w:proofErr w:type="spellStart"/>
      <w:r>
        <w:t>LoRA</w:t>
      </w:r>
      <w:proofErr w:type="spellEnd"/>
      <w:r>
        <w:t xml:space="preserve">, demostrando mejoras sustanciales sobre líneas base en </w:t>
      </w:r>
      <w:proofErr w:type="gramStart"/>
      <w:r>
        <w:t>Quechua</w:t>
      </w:r>
      <w:proofErr w:type="gramEnd"/>
      <w:r>
        <w:t>-</w:t>
      </w:r>
      <w:proofErr w:type="gramStart"/>
      <w:r>
        <w:t>Inglés</w:t>
      </w:r>
      <w:proofErr w:type="gramEnd"/>
      <w:r>
        <w:t xml:space="preserve">. La base de conocimiento utilizada en </w:t>
      </w:r>
      <w:proofErr w:type="spellStart"/>
      <w:r>
        <w:t>QueEn</w:t>
      </w:r>
      <w:proofErr w:type="spellEnd"/>
      <w:r>
        <w:t xml:space="preserve"> es principalmente un corpus de oraciones paralelas; el presente </w:t>
      </w:r>
      <w:r w:rsidR="00ED122C">
        <w:t>trabajo</w:t>
      </w:r>
      <w:r>
        <w:t xml:space="preserve"> extiende esta idea proponiendo una base multi-índice que separa explícitamente el conocimiento léxico (entradas del diccionario), el conocimiento gramatical (reglas morfosintácticas) y los ejemplos paralelos, lo que permite al sistema consultar cada tipo de conocimiento de manera específica según la naturaleza de la información que requiere para la traducción.</w:t>
      </w:r>
    </w:p>
    <w:p w14:paraId="3BBB9241" w14:textId="77777777" w:rsidR="00636E09" w:rsidRDefault="00226D26">
      <w:r>
        <w:t>La literatura actualmente disponible sobre RAG-MT multi-índice es escasa; no se han identificado trabajos previos que estructuren la base de conocimiento lingüístico en índices independientes como se propone en el presente trabajo. Esta estructuración constituye, por tanto, una contribución metodológica original del proyecto.</w:t>
      </w:r>
    </w:p>
    <w:p w14:paraId="25E68A74" w14:textId="77777777" w:rsidR="00636E09" w:rsidRDefault="049C66FE">
      <w:pPr>
        <w:pStyle w:val="Heading3"/>
        <w:rPr>
          <w:b w:val="0"/>
          <w:bCs w:val="0"/>
        </w:rPr>
      </w:pPr>
      <w:bookmarkStart w:id="43" w:name="_Toc230950259"/>
      <w:bookmarkStart w:id="44" w:name="_Toc233199072"/>
      <w:r>
        <w:rPr>
          <w:b w:val="0"/>
          <w:bCs w:val="0"/>
        </w:rPr>
        <w:t>Técnicas de ajuste fino eficiente en parámetros</w:t>
      </w:r>
      <w:bookmarkEnd w:id="43"/>
      <w:bookmarkEnd w:id="44"/>
    </w:p>
    <w:p w14:paraId="185A3885" w14:textId="77777777" w:rsidR="00636E09" w:rsidRDefault="00226D26">
      <w:r>
        <w:t>El campo del ajuste fino eficiente en parámetros (</w:t>
      </w:r>
      <w:proofErr w:type="spellStart"/>
      <w:r>
        <w:rPr>
          <w:i/>
        </w:rPr>
        <w:t>parameter-efficient</w:t>
      </w:r>
      <w:proofErr w:type="spellEnd"/>
      <w:r>
        <w:rPr>
          <w:i/>
        </w:rPr>
        <w:t xml:space="preserve"> fine-tuning</w:t>
      </w:r>
      <w:r>
        <w:t xml:space="preserve"> o PEFT) ha experimentado una expansión notable desde 2021. La técnica más influyente y ampliamente adoptada es </w:t>
      </w:r>
      <w:r>
        <w:rPr>
          <w:i/>
        </w:rPr>
        <w:t xml:space="preserve">Low-Rank </w:t>
      </w:r>
      <w:proofErr w:type="spellStart"/>
      <w:r>
        <w:rPr>
          <w:i/>
        </w:rPr>
        <w:t>Adaptation</w:t>
      </w:r>
      <w:proofErr w:type="spellEnd"/>
      <w:r>
        <w:t xml:space="preserve"> (</w:t>
      </w:r>
      <w:proofErr w:type="spellStart"/>
      <w:r>
        <w:t>LoRA</w:t>
      </w:r>
      <w:proofErr w:type="spellEnd"/>
      <w:r>
        <w:t xml:space="preserve">), propuesta por </w:t>
      </w:r>
      <w:proofErr w:type="spellStart"/>
      <w:r>
        <w:t>Hu</w:t>
      </w:r>
      <w:proofErr w:type="spellEnd"/>
      <w:r>
        <w:t xml:space="preserve"> et al. (2022) y publicada en ICLR 2022. </w:t>
      </w:r>
      <w:proofErr w:type="spellStart"/>
      <w:r>
        <w:t>LoRA</w:t>
      </w:r>
      <w:proofErr w:type="spellEnd"/>
      <w:r>
        <w:t xml:space="preserve"> se fundamenta en la observación empírica de que los cambios en los pesos de un modelo durante el ajuste fino tienen un rango intrínseco bajo, y reemplaza la actualización de matrices densas por la suma de dos matrices de bajo rango que se entrenan conjuntamente. En la práctica, </w:t>
      </w:r>
      <w:proofErr w:type="spellStart"/>
      <w:r>
        <w:t>LoRA</w:t>
      </w:r>
      <w:proofErr w:type="spellEnd"/>
      <w:r>
        <w:t xml:space="preserve"> reduce el número de parámetros </w:t>
      </w:r>
      <w:proofErr w:type="spellStart"/>
      <w:r>
        <w:t>entrenables</w:t>
      </w:r>
      <w:proofErr w:type="spellEnd"/>
      <w:r>
        <w:t xml:space="preserve"> en tres o cuatro órdenes de </w:t>
      </w:r>
      <w:r>
        <w:lastRenderedPageBreak/>
        <w:t xml:space="preserve">magnitud respecto al ajuste fino completo, con pérdida mínima de calidad en la tarea final. Esta propiedad hace a </w:t>
      </w:r>
      <w:proofErr w:type="spellStart"/>
      <w:r>
        <w:t>LoRA</w:t>
      </w:r>
      <w:proofErr w:type="spellEnd"/>
      <w:r>
        <w:t xml:space="preserve"> particularmente adecuado para escenarios con restricciones de cómputo.</w:t>
      </w:r>
    </w:p>
    <w:p w14:paraId="5836F884" w14:textId="77777777" w:rsidR="00636E09" w:rsidRDefault="00226D26">
      <w:r>
        <w:t xml:space="preserve">Dettmers et al. (2023) propusieron </w:t>
      </w:r>
      <w:proofErr w:type="spellStart"/>
      <w:r>
        <w:rPr>
          <w:b/>
        </w:rPr>
        <w:t>QLoRA</w:t>
      </w:r>
      <w:proofErr w:type="spellEnd"/>
      <w:r>
        <w:t xml:space="preserve"> como una extensión de </w:t>
      </w:r>
      <w:proofErr w:type="spellStart"/>
      <w:r>
        <w:t>LoRA</w:t>
      </w:r>
      <w:proofErr w:type="spellEnd"/>
      <w:r>
        <w:t xml:space="preserve"> que introduce cuantización a 4 bits del modelo base </w:t>
      </w:r>
      <w:proofErr w:type="spellStart"/>
      <w:r>
        <w:t>preentrenado</w:t>
      </w:r>
      <w:proofErr w:type="spellEnd"/>
      <w:r>
        <w:t xml:space="preserve">, manteniendo los adaptadores </w:t>
      </w:r>
      <w:proofErr w:type="spellStart"/>
      <w:r>
        <w:t>LoRA</w:t>
      </w:r>
      <w:proofErr w:type="spellEnd"/>
      <w:r>
        <w:t xml:space="preserve"> en precisión completa. Esta combinación permite el ajuste fino de modelos significativamente mayores en hardware con memoria limitada sin comprometer la calidad final, ampliando el alcance práctico de la técnica. El trabajo fue publicado en </w:t>
      </w:r>
      <w:proofErr w:type="spellStart"/>
      <w:r>
        <w:t>NeurIPS</w:t>
      </w:r>
      <w:proofErr w:type="spellEnd"/>
      <w:r>
        <w:t xml:space="preserve"> 2023 y constituye la referencia estándar para escenarios con restricciones de memoria.</w:t>
      </w:r>
    </w:p>
    <w:p w14:paraId="4FE8D49E" w14:textId="77777777" w:rsidR="00636E09" w:rsidRDefault="00226D26">
      <w:r>
        <w:t xml:space="preserve">Liu et al. (2024) presentaron </w:t>
      </w:r>
      <w:proofErr w:type="spellStart"/>
      <w:r>
        <w:rPr>
          <w:b/>
        </w:rPr>
        <w:t>DoRA</w:t>
      </w:r>
      <w:proofErr w:type="spellEnd"/>
      <w:r>
        <w:t xml:space="preserve"> (</w:t>
      </w:r>
      <w:r>
        <w:rPr>
          <w:i/>
        </w:rPr>
        <w:t>Weight-</w:t>
      </w:r>
      <w:proofErr w:type="spellStart"/>
      <w:r>
        <w:rPr>
          <w:i/>
        </w:rPr>
        <w:t>Decomposed</w:t>
      </w:r>
      <w:proofErr w:type="spellEnd"/>
      <w:r>
        <w:rPr>
          <w:i/>
        </w:rPr>
        <w:t xml:space="preserve"> Low-Rank </w:t>
      </w:r>
      <w:proofErr w:type="spellStart"/>
      <w:r>
        <w:rPr>
          <w:i/>
        </w:rPr>
        <w:t>Adaptation</w:t>
      </w:r>
      <w:proofErr w:type="spellEnd"/>
      <w:r>
        <w:t xml:space="preserve">) como una evolución de </w:t>
      </w:r>
      <w:proofErr w:type="spellStart"/>
      <w:r>
        <w:t>LoRA</w:t>
      </w:r>
      <w:proofErr w:type="spellEnd"/>
      <w:r>
        <w:t xml:space="preserve">. La propuesta descompone cada matriz de pesos en una componente de magnitud y una componente de dirección, aplicando </w:t>
      </w:r>
      <w:proofErr w:type="spellStart"/>
      <w:r>
        <w:t>LoRA</w:t>
      </w:r>
      <w:proofErr w:type="spellEnd"/>
      <w:r>
        <w:t xml:space="preserve"> únicamente sobre la componente direccional. El trabajo, publicado como </w:t>
      </w:r>
      <w:r>
        <w:rPr>
          <w:i/>
        </w:rPr>
        <w:t>oral</w:t>
      </w:r>
      <w:r>
        <w:t xml:space="preserve"> en ICML 2024, demuestra mejoras sistemáticas sobre </w:t>
      </w:r>
      <w:proofErr w:type="spellStart"/>
      <w:r>
        <w:t>LoRA</w:t>
      </w:r>
      <w:proofErr w:type="spellEnd"/>
      <w:r>
        <w:t xml:space="preserve"> a igual número de parámetros </w:t>
      </w:r>
      <w:proofErr w:type="spellStart"/>
      <w:r>
        <w:t>entrenables</w:t>
      </w:r>
      <w:proofErr w:type="spellEnd"/>
      <w:r>
        <w:t xml:space="preserve"> en varios </w:t>
      </w:r>
      <w:proofErr w:type="spellStart"/>
      <w:r>
        <w:rPr>
          <w:i/>
        </w:rPr>
        <w:t>benchmarks</w:t>
      </w:r>
      <w:proofErr w:type="spellEnd"/>
      <w:r>
        <w:t xml:space="preserve"> de lenguaje natural y visión, y es una alternativa natural a evaluar en etapas avanzadas del </w:t>
      </w:r>
      <w:r w:rsidR="00ED122C">
        <w:t xml:space="preserve">trabajo de fin de </w:t>
      </w:r>
      <w:proofErr w:type="gramStart"/>
      <w:r w:rsidR="00ED122C">
        <w:t>Master</w:t>
      </w:r>
      <w:proofErr w:type="gramEnd"/>
      <w:r>
        <w:t>.</w:t>
      </w:r>
    </w:p>
    <w:p w14:paraId="3231841F" w14:textId="77777777" w:rsidR="00636E09" w:rsidRDefault="00226D26">
      <w:r>
        <w:t>Un estudio comparativo especialmente relevante para las decisiones metodológicas del presente trabajo es el de Su et al. (2024), que evaluó empíricamente ocho métodos PEFT sobre quince arquitecturas distintas en el escenario específico de traducción automática de bajos recursos (</w:t>
      </w:r>
      <w:proofErr w:type="spellStart"/>
      <w:r>
        <w:rPr>
          <w:i/>
        </w:rPr>
        <w:t>low-resource</w:t>
      </w:r>
      <w:proofErr w:type="spellEnd"/>
      <w:r>
        <w:rPr>
          <w:i/>
        </w:rPr>
        <w:t xml:space="preserve"> </w:t>
      </w:r>
      <w:proofErr w:type="spellStart"/>
      <w:r>
        <w:rPr>
          <w:i/>
        </w:rPr>
        <w:t>language</w:t>
      </w:r>
      <w:proofErr w:type="spellEnd"/>
      <w:r>
        <w:rPr>
          <w:i/>
        </w:rPr>
        <w:t xml:space="preserve"> </w:t>
      </w:r>
      <w:proofErr w:type="spellStart"/>
      <w:r>
        <w:rPr>
          <w:i/>
        </w:rPr>
        <w:t>translation</w:t>
      </w:r>
      <w:proofErr w:type="spellEnd"/>
      <w:r>
        <w:t>, LRL-NMT). El estudio recomienda un conjunto de combinaciones modelo-método según el volumen de datos paralelos disponibles y las capacidades computacionales, y sirve como guía para el diseño experimental del presente proyecto.</w:t>
      </w:r>
    </w:p>
    <w:p w14:paraId="30A6611F" w14:textId="77777777" w:rsidR="00636E09" w:rsidRDefault="049C66FE">
      <w:pPr>
        <w:pStyle w:val="Heading3"/>
        <w:rPr>
          <w:b w:val="0"/>
          <w:bCs w:val="0"/>
        </w:rPr>
      </w:pPr>
      <w:bookmarkStart w:id="45" w:name="_Toc230950260"/>
      <w:bookmarkStart w:id="46" w:name="_Toc233199073"/>
      <w:r>
        <w:rPr>
          <w:b w:val="0"/>
          <w:bCs w:val="0"/>
        </w:rPr>
        <w:t>Modelos base candidatos: análisis comparativo</w:t>
      </w:r>
      <w:bookmarkEnd w:id="45"/>
      <w:bookmarkEnd w:id="46"/>
    </w:p>
    <w:p w14:paraId="79E89D27" w14:textId="77777777" w:rsidR="00636E09" w:rsidRDefault="00226D26">
      <w:r>
        <w:t xml:space="preserve">La selección del modelo multilingüe </w:t>
      </w:r>
      <w:proofErr w:type="spellStart"/>
      <w:r>
        <w:t>preentrenado</w:t>
      </w:r>
      <w:proofErr w:type="spellEnd"/>
      <w:r>
        <w:t xml:space="preserve"> que servirá como base para el ajuste fino constituye una decisión arquitectural central del proyecto. Tres familias de modelos merecen consideración: NLLB-200 de Meta, MADLAD-400 de Google y </w:t>
      </w:r>
      <w:proofErr w:type="spellStart"/>
      <w:r>
        <w:t>TranslateGemma</w:t>
      </w:r>
      <w:proofErr w:type="spellEnd"/>
      <w:r>
        <w:t xml:space="preserve"> de Google </w:t>
      </w:r>
      <w:proofErr w:type="spellStart"/>
      <w:r>
        <w:lastRenderedPageBreak/>
        <w:t>DeepMind</w:t>
      </w:r>
      <w:proofErr w:type="spellEnd"/>
      <w:r>
        <w:t xml:space="preserve">. A </w:t>
      </w:r>
      <w:proofErr w:type="gramStart"/>
      <w:r>
        <w:t>continuación</w:t>
      </w:r>
      <w:proofErr w:type="gramEnd"/>
      <w:r>
        <w:t xml:space="preserve"> se presenta una comparativa sintética de sus características técnicas en la Tabla 2.</w:t>
      </w:r>
    </w:p>
    <w:p w14:paraId="6BE1D887" w14:textId="5DFAC2E0" w:rsidR="00C43711" w:rsidRDefault="00C43711" w:rsidP="00C43711">
      <w:pPr>
        <w:pStyle w:val="Caption"/>
        <w:keepNext/>
      </w:pPr>
      <w:bookmarkStart w:id="47" w:name="_Toc230952643"/>
      <w:bookmarkStart w:id="48" w:name="_Toc233199120"/>
      <w:r>
        <w:t xml:space="preserve">Tabla </w:t>
      </w:r>
      <w:fldSimple w:instr=" SEQ Tabla \* ARABIC ">
        <w:r w:rsidR="0059770D">
          <w:rPr>
            <w:noProof/>
          </w:rPr>
          <w:t>2</w:t>
        </w:r>
      </w:fldSimple>
      <w:r w:rsidRPr="00EA3DEA">
        <w:tab/>
        <w:t>Comparativa de modelos multilingües candidatos para la adaptación al par Inga-</w:t>
      </w:r>
      <w:proofErr w:type="gramStart"/>
      <w:r w:rsidRPr="00EA3DEA">
        <w:t>Español</w:t>
      </w:r>
      <w:bookmarkEnd w:id="47"/>
      <w:bookmarkEnd w:id="48"/>
      <w:proofErr w:type="gramEnd"/>
    </w:p>
    <w:tbl>
      <w:tblPr>
        <w:tblStyle w:val="GridTable4-Accent1"/>
        <w:tblW w:w="0" w:type="auto"/>
        <w:tblLayout w:type="fixed"/>
        <w:tblLook w:val="04A0" w:firstRow="1" w:lastRow="0" w:firstColumn="1" w:lastColumn="0" w:noHBand="0" w:noVBand="1"/>
      </w:tblPr>
      <w:tblGrid>
        <w:gridCol w:w="1555"/>
        <w:gridCol w:w="1619"/>
        <w:gridCol w:w="932"/>
        <w:gridCol w:w="1516"/>
        <w:gridCol w:w="950"/>
        <w:gridCol w:w="1078"/>
        <w:gridCol w:w="1411"/>
      </w:tblGrid>
      <w:tr w:rsidR="00636E09" w14:paraId="439B2A1B" w14:textId="77777777" w:rsidTr="00537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23C9A85" w14:textId="77777777" w:rsidR="00636E09" w:rsidRDefault="00226D26">
            <w:r>
              <w:t>Modelo</w:t>
            </w:r>
          </w:p>
        </w:tc>
        <w:tc>
          <w:tcPr>
            <w:tcW w:w="1619" w:type="dxa"/>
          </w:tcPr>
          <w:p w14:paraId="7A00B44F" w14:textId="77777777" w:rsidR="00636E09" w:rsidRDefault="00226D26">
            <w:pPr>
              <w:cnfStyle w:val="100000000000" w:firstRow="1" w:lastRow="0" w:firstColumn="0" w:lastColumn="0" w:oddVBand="0" w:evenVBand="0" w:oddHBand="0" w:evenHBand="0" w:firstRowFirstColumn="0" w:firstRowLastColumn="0" w:lastRowFirstColumn="0" w:lastRowLastColumn="0"/>
            </w:pPr>
            <w:r>
              <w:t>Parámetros</w:t>
            </w:r>
          </w:p>
        </w:tc>
        <w:tc>
          <w:tcPr>
            <w:tcW w:w="932" w:type="dxa"/>
          </w:tcPr>
          <w:p w14:paraId="08122C4B" w14:textId="77777777" w:rsidR="00636E09" w:rsidRDefault="00226D26">
            <w:pPr>
              <w:cnfStyle w:val="100000000000" w:firstRow="1" w:lastRow="0" w:firstColumn="0" w:lastColumn="0" w:oddVBand="0" w:evenVBand="0" w:oddHBand="0" w:evenHBand="0" w:firstRowFirstColumn="0" w:firstRowLastColumn="0" w:lastRowFirstColumn="0" w:lastRowLastColumn="0"/>
            </w:pPr>
            <w:r>
              <w:t>Lenguas</w:t>
            </w:r>
          </w:p>
        </w:tc>
        <w:tc>
          <w:tcPr>
            <w:tcW w:w="1516" w:type="dxa"/>
          </w:tcPr>
          <w:p w14:paraId="3C39FACF" w14:textId="77777777" w:rsidR="00636E09" w:rsidRDefault="00226D26">
            <w:pPr>
              <w:cnfStyle w:val="100000000000" w:firstRow="1" w:lastRow="0" w:firstColumn="0" w:lastColumn="0" w:oddVBand="0" w:evenVBand="0" w:oddHBand="0" w:evenHBand="0" w:firstRowFirstColumn="0" w:firstRowLastColumn="0" w:lastRowFirstColumn="0" w:lastRowLastColumn="0"/>
            </w:pPr>
            <w:r>
              <w:t>Quechua incluido</w:t>
            </w:r>
          </w:p>
        </w:tc>
        <w:tc>
          <w:tcPr>
            <w:tcW w:w="950" w:type="dxa"/>
          </w:tcPr>
          <w:p w14:paraId="1757AE92" w14:textId="77777777" w:rsidR="00636E09" w:rsidRDefault="00226D26">
            <w:pPr>
              <w:cnfStyle w:val="100000000000" w:firstRow="1" w:lastRow="0" w:firstColumn="0" w:lastColumn="0" w:oddVBand="0" w:evenVBand="0" w:oddHBand="0" w:evenHBand="0" w:firstRowFirstColumn="0" w:firstRowLastColumn="0" w:lastRowFirstColumn="0" w:lastRowLastColumn="0"/>
            </w:pPr>
            <w:r>
              <w:t>Licencia</w:t>
            </w:r>
          </w:p>
        </w:tc>
        <w:tc>
          <w:tcPr>
            <w:tcW w:w="1078" w:type="dxa"/>
          </w:tcPr>
          <w:p w14:paraId="19D0C293" w14:textId="77777777" w:rsidR="00636E09" w:rsidRDefault="00226D26">
            <w:pPr>
              <w:cnfStyle w:val="100000000000" w:firstRow="1" w:lastRow="0" w:firstColumn="0" w:lastColumn="0" w:oddVBand="0" w:evenVBand="0" w:oddHBand="0" w:evenHBand="0" w:firstRowFirstColumn="0" w:firstRowLastColumn="0" w:lastRowFirstColumn="0" w:lastRowLastColumn="0"/>
            </w:pPr>
            <w:r>
              <w:t>Arquitectura</w:t>
            </w:r>
          </w:p>
        </w:tc>
        <w:tc>
          <w:tcPr>
            <w:tcW w:w="1411" w:type="dxa"/>
          </w:tcPr>
          <w:p w14:paraId="78C54955" w14:textId="77777777" w:rsidR="00636E09" w:rsidRDefault="00226D26">
            <w:pPr>
              <w:cnfStyle w:val="100000000000" w:firstRow="1" w:lastRow="0" w:firstColumn="0" w:lastColumn="0" w:oddVBand="0" w:evenVBand="0" w:oddHBand="0" w:evenHBand="0" w:firstRowFirstColumn="0" w:firstRowLastColumn="0" w:lastRowFirstColumn="0" w:lastRowLastColumn="0"/>
            </w:pPr>
            <w:r>
              <w:t>Ajustable en M4 Max 128 GB</w:t>
            </w:r>
          </w:p>
        </w:tc>
      </w:tr>
      <w:tr w:rsidR="00636E09" w14:paraId="4DAE7953" w14:textId="77777777" w:rsidTr="0053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2AB1AC3" w14:textId="77777777" w:rsidR="00636E09" w:rsidRDefault="00226D26">
            <w:r>
              <w:t>NLLB-200-3.3B (NLLB Team, 2022, 2024)</w:t>
            </w:r>
          </w:p>
        </w:tc>
        <w:tc>
          <w:tcPr>
            <w:tcW w:w="1619" w:type="dxa"/>
          </w:tcPr>
          <w:p w14:paraId="692E7338" w14:textId="77777777" w:rsidR="00636E09" w:rsidRDefault="00226D26">
            <w:pPr>
              <w:cnfStyle w:val="000000100000" w:firstRow="0" w:lastRow="0" w:firstColumn="0" w:lastColumn="0" w:oddVBand="0" w:evenVBand="0" w:oddHBand="1" w:evenHBand="0" w:firstRowFirstColumn="0" w:firstRowLastColumn="0" w:lastRowFirstColumn="0" w:lastRowLastColumn="0"/>
            </w:pPr>
            <w:r>
              <w:t>3.3 mil millones</w:t>
            </w:r>
          </w:p>
        </w:tc>
        <w:tc>
          <w:tcPr>
            <w:tcW w:w="932" w:type="dxa"/>
          </w:tcPr>
          <w:p w14:paraId="36071704" w14:textId="77777777" w:rsidR="00636E09" w:rsidRDefault="00226D26">
            <w:pPr>
              <w:cnfStyle w:val="000000100000" w:firstRow="0" w:lastRow="0" w:firstColumn="0" w:lastColumn="0" w:oddVBand="0" w:evenVBand="0" w:oddHBand="1" w:evenHBand="0" w:firstRowFirstColumn="0" w:firstRowLastColumn="0" w:lastRowFirstColumn="0" w:lastRowLastColumn="0"/>
            </w:pPr>
            <w:r>
              <w:t>200</w:t>
            </w:r>
          </w:p>
        </w:tc>
        <w:tc>
          <w:tcPr>
            <w:tcW w:w="1516" w:type="dxa"/>
          </w:tcPr>
          <w:p w14:paraId="490ACEF7"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w:t>
            </w:r>
            <w:proofErr w:type="spellStart"/>
            <w:r>
              <w:t>quy_Latn</w:t>
            </w:r>
            <w:proofErr w:type="spellEnd"/>
            <w:r>
              <w:t>)</w:t>
            </w:r>
          </w:p>
        </w:tc>
        <w:tc>
          <w:tcPr>
            <w:tcW w:w="950" w:type="dxa"/>
          </w:tcPr>
          <w:p w14:paraId="3EB2C3C1" w14:textId="77777777" w:rsidR="00636E09" w:rsidRDefault="00226D26">
            <w:pPr>
              <w:cnfStyle w:val="000000100000" w:firstRow="0" w:lastRow="0" w:firstColumn="0" w:lastColumn="0" w:oddVBand="0" w:evenVBand="0" w:oddHBand="1" w:evenHBand="0" w:firstRowFirstColumn="0" w:firstRowLastColumn="0" w:lastRowFirstColumn="0" w:lastRowLastColumn="0"/>
            </w:pPr>
            <w:r>
              <w:t>CC BY-NC 4.0</w:t>
            </w:r>
          </w:p>
        </w:tc>
        <w:tc>
          <w:tcPr>
            <w:tcW w:w="1078" w:type="dxa"/>
          </w:tcPr>
          <w:p w14:paraId="6B0C9DC6" w14:textId="77777777" w:rsidR="00636E09" w:rsidRDefault="00226D26">
            <w:pPr>
              <w:cnfStyle w:val="000000100000" w:firstRow="0" w:lastRow="0" w:firstColumn="0" w:lastColumn="0" w:oddVBand="0" w:evenVBand="0" w:oddHBand="1" w:evenHBand="0" w:firstRowFirstColumn="0" w:firstRowLastColumn="0" w:lastRowFirstColumn="0" w:lastRowLastColumn="0"/>
            </w:pPr>
            <w:proofErr w:type="spellStart"/>
            <w:r>
              <w:t>Encoder-decoder</w:t>
            </w:r>
            <w:proofErr w:type="spellEnd"/>
          </w:p>
        </w:tc>
        <w:tc>
          <w:tcPr>
            <w:tcW w:w="1411" w:type="dxa"/>
          </w:tcPr>
          <w:p w14:paraId="5E0DACE3"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permite incluso el fine-tuning completo</w:t>
            </w:r>
          </w:p>
        </w:tc>
      </w:tr>
      <w:tr w:rsidR="00636E09" w14:paraId="25894FFC" w14:textId="77777777" w:rsidTr="005370DA">
        <w:tc>
          <w:tcPr>
            <w:cnfStyle w:val="001000000000" w:firstRow="0" w:lastRow="0" w:firstColumn="1" w:lastColumn="0" w:oddVBand="0" w:evenVBand="0" w:oddHBand="0" w:evenHBand="0" w:firstRowFirstColumn="0" w:firstRowLastColumn="0" w:lastRowFirstColumn="0" w:lastRowLastColumn="0"/>
            <w:tcW w:w="1555" w:type="dxa"/>
          </w:tcPr>
          <w:p w14:paraId="39713E78" w14:textId="77777777" w:rsidR="00636E09" w:rsidRDefault="00226D26">
            <w:r>
              <w:t>NLLB-200-distilled-600M</w:t>
            </w:r>
          </w:p>
        </w:tc>
        <w:tc>
          <w:tcPr>
            <w:tcW w:w="1619" w:type="dxa"/>
          </w:tcPr>
          <w:p w14:paraId="487648DA" w14:textId="77777777" w:rsidR="00636E09" w:rsidRDefault="00226D26">
            <w:pPr>
              <w:cnfStyle w:val="000000000000" w:firstRow="0" w:lastRow="0" w:firstColumn="0" w:lastColumn="0" w:oddVBand="0" w:evenVBand="0" w:oddHBand="0" w:evenHBand="0" w:firstRowFirstColumn="0" w:firstRowLastColumn="0" w:lastRowFirstColumn="0" w:lastRowLastColumn="0"/>
            </w:pPr>
            <w:r>
              <w:t>600 millones</w:t>
            </w:r>
          </w:p>
        </w:tc>
        <w:tc>
          <w:tcPr>
            <w:tcW w:w="932" w:type="dxa"/>
          </w:tcPr>
          <w:p w14:paraId="7CD5A311" w14:textId="77777777" w:rsidR="00636E09" w:rsidRDefault="00226D26">
            <w:pPr>
              <w:cnfStyle w:val="000000000000" w:firstRow="0" w:lastRow="0" w:firstColumn="0" w:lastColumn="0" w:oddVBand="0" w:evenVBand="0" w:oddHBand="0" w:evenHBand="0" w:firstRowFirstColumn="0" w:firstRowLastColumn="0" w:lastRowFirstColumn="0" w:lastRowLastColumn="0"/>
            </w:pPr>
            <w:r>
              <w:t>200</w:t>
            </w:r>
          </w:p>
        </w:tc>
        <w:tc>
          <w:tcPr>
            <w:tcW w:w="1516" w:type="dxa"/>
          </w:tcPr>
          <w:p w14:paraId="2ADDB525" w14:textId="77777777" w:rsidR="00636E09" w:rsidRDefault="00226D26">
            <w:pPr>
              <w:cnfStyle w:val="000000000000" w:firstRow="0" w:lastRow="0" w:firstColumn="0" w:lastColumn="0" w:oddVBand="0" w:evenVBand="0" w:oddHBand="0" w:evenHBand="0" w:firstRowFirstColumn="0" w:firstRowLastColumn="0" w:lastRowFirstColumn="0" w:lastRowLastColumn="0"/>
            </w:pPr>
            <w:r>
              <w:t>Sí</w:t>
            </w:r>
          </w:p>
        </w:tc>
        <w:tc>
          <w:tcPr>
            <w:tcW w:w="950" w:type="dxa"/>
          </w:tcPr>
          <w:p w14:paraId="167B0A8F" w14:textId="77777777" w:rsidR="00636E09" w:rsidRDefault="00226D26">
            <w:pPr>
              <w:cnfStyle w:val="000000000000" w:firstRow="0" w:lastRow="0" w:firstColumn="0" w:lastColumn="0" w:oddVBand="0" w:evenVBand="0" w:oddHBand="0" w:evenHBand="0" w:firstRowFirstColumn="0" w:firstRowLastColumn="0" w:lastRowFirstColumn="0" w:lastRowLastColumn="0"/>
            </w:pPr>
            <w:r>
              <w:t>CC BY-NC 4.0</w:t>
            </w:r>
          </w:p>
        </w:tc>
        <w:tc>
          <w:tcPr>
            <w:tcW w:w="1078" w:type="dxa"/>
          </w:tcPr>
          <w:p w14:paraId="0950D9AF" w14:textId="77777777" w:rsidR="00636E09" w:rsidRDefault="00226D26">
            <w:pPr>
              <w:cnfStyle w:val="000000000000" w:firstRow="0" w:lastRow="0" w:firstColumn="0" w:lastColumn="0" w:oddVBand="0" w:evenVBand="0" w:oddHBand="0" w:evenHBand="0" w:firstRowFirstColumn="0" w:firstRowLastColumn="0" w:lastRowFirstColumn="0" w:lastRowLastColumn="0"/>
            </w:pPr>
            <w:proofErr w:type="spellStart"/>
            <w:r>
              <w:t>Encoder-decoder</w:t>
            </w:r>
            <w:proofErr w:type="spellEnd"/>
          </w:p>
        </w:tc>
        <w:tc>
          <w:tcPr>
            <w:tcW w:w="1411" w:type="dxa"/>
          </w:tcPr>
          <w:p w14:paraId="7DBBB7DB" w14:textId="77777777" w:rsidR="00636E09" w:rsidRDefault="00226D26">
            <w:pPr>
              <w:cnfStyle w:val="000000000000" w:firstRow="0" w:lastRow="0" w:firstColumn="0" w:lastColumn="0" w:oddVBand="0" w:evenVBand="0" w:oddHBand="0" w:evenHBand="0" w:firstRowFirstColumn="0" w:firstRowLastColumn="0" w:lastRowFirstColumn="0" w:lastRowLastColumn="0"/>
            </w:pPr>
            <w:r>
              <w:t>Sí, con amplio margen</w:t>
            </w:r>
          </w:p>
        </w:tc>
      </w:tr>
      <w:tr w:rsidR="00636E09" w14:paraId="468E2C5E" w14:textId="77777777" w:rsidTr="0053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FCE40F4" w14:textId="77777777" w:rsidR="00636E09" w:rsidRDefault="00226D26">
            <w:r>
              <w:t>MADLAD-400-10B (</w:t>
            </w:r>
            <w:proofErr w:type="spellStart"/>
            <w:r>
              <w:t>Kudugunta</w:t>
            </w:r>
            <w:proofErr w:type="spellEnd"/>
            <w:r>
              <w:t xml:space="preserve"> et al., 2023)</w:t>
            </w:r>
          </w:p>
        </w:tc>
        <w:tc>
          <w:tcPr>
            <w:tcW w:w="1619" w:type="dxa"/>
          </w:tcPr>
          <w:p w14:paraId="469E9247" w14:textId="77777777" w:rsidR="00636E09" w:rsidRDefault="00226D26">
            <w:pPr>
              <w:cnfStyle w:val="000000100000" w:firstRow="0" w:lastRow="0" w:firstColumn="0" w:lastColumn="0" w:oddVBand="0" w:evenVBand="0" w:oddHBand="1" w:evenHBand="0" w:firstRowFirstColumn="0" w:firstRowLastColumn="0" w:lastRowFirstColumn="0" w:lastRowLastColumn="0"/>
            </w:pPr>
            <w:r>
              <w:t>10.7 mil millones</w:t>
            </w:r>
          </w:p>
        </w:tc>
        <w:tc>
          <w:tcPr>
            <w:tcW w:w="932" w:type="dxa"/>
          </w:tcPr>
          <w:p w14:paraId="4C5E8C21" w14:textId="77777777" w:rsidR="00636E09" w:rsidRDefault="00226D26">
            <w:pPr>
              <w:cnfStyle w:val="000000100000" w:firstRow="0" w:lastRow="0" w:firstColumn="0" w:lastColumn="0" w:oddVBand="0" w:evenVBand="0" w:oddHBand="1" w:evenHBand="0" w:firstRowFirstColumn="0" w:firstRowLastColumn="0" w:lastRowFirstColumn="0" w:lastRowLastColumn="0"/>
            </w:pPr>
            <w:r>
              <w:t>450+</w:t>
            </w:r>
          </w:p>
        </w:tc>
        <w:tc>
          <w:tcPr>
            <w:tcW w:w="1516" w:type="dxa"/>
          </w:tcPr>
          <w:p w14:paraId="62329BC3"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w:t>
            </w:r>
            <w:proofErr w:type="spellStart"/>
            <w:r>
              <w:t>qu</w:t>
            </w:r>
            <w:proofErr w:type="spellEnd"/>
            <w:r>
              <w:t>)</w:t>
            </w:r>
          </w:p>
        </w:tc>
        <w:tc>
          <w:tcPr>
            <w:tcW w:w="950" w:type="dxa"/>
          </w:tcPr>
          <w:p w14:paraId="4A8E7682" w14:textId="77777777" w:rsidR="00636E09" w:rsidRDefault="00226D26">
            <w:pPr>
              <w:cnfStyle w:val="000000100000" w:firstRow="0" w:lastRow="0" w:firstColumn="0" w:lastColumn="0" w:oddVBand="0" w:evenVBand="0" w:oddHBand="1" w:evenHBand="0" w:firstRowFirstColumn="0" w:firstRowLastColumn="0" w:lastRowFirstColumn="0" w:lastRowLastColumn="0"/>
            </w:pPr>
            <w:r>
              <w:t>Apache 2.0</w:t>
            </w:r>
          </w:p>
        </w:tc>
        <w:tc>
          <w:tcPr>
            <w:tcW w:w="1078" w:type="dxa"/>
          </w:tcPr>
          <w:p w14:paraId="56653DEE" w14:textId="77777777" w:rsidR="00636E09" w:rsidRDefault="00226D26">
            <w:pPr>
              <w:cnfStyle w:val="000000100000" w:firstRow="0" w:lastRow="0" w:firstColumn="0" w:lastColumn="0" w:oddVBand="0" w:evenVBand="0" w:oddHBand="1" w:evenHBand="0" w:firstRowFirstColumn="0" w:firstRowLastColumn="0" w:lastRowFirstColumn="0" w:lastRowLastColumn="0"/>
            </w:pPr>
            <w:r>
              <w:t>T5</w:t>
            </w:r>
          </w:p>
        </w:tc>
        <w:tc>
          <w:tcPr>
            <w:tcW w:w="1411" w:type="dxa"/>
          </w:tcPr>
          <w:p w14:paraId="0505B219"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con ajuste fino eficiente</w:t>
            </w:r>
          </w:p>
        </w:tc>
      </w:tr>
      <w:tr w:rsidR="00636E09" w14:paraId="08CBC9B4" w14:textId="77777777" w:rsidTr="005370DA">
        <w:tc>
          <w:tcPr>
            <w:cnfStyle w:val="001000000000" w:firstRow="0" w:lastRow="0" w:firstColumn="1" w:lastColumn="0" w:oddVBand="0" w:evenVBand="0" w:oddHBand="0" w:evenHBand="0" w:firstRowFirstColumn="0" w:firstRowLastColumn="0" w:lastRowFirstColumn="0" w:lastRowLastColumn="0"/>
            <w:tcW w:w="1555" w:type="dxa"/>
          </w:tcPr>
          <w:p w14:paraId="5748F055" w14:textId="77777777" w:rsidR="00636E09" w:rsidRPr="00A616E4" w:rsidRDefault="00226D26">
            <w:pPr>
              <w:rPr>
                <w:lang w:val="en-US"/>
              </w:rPr>
            </w:pPr>
            <w:r w:rsidRPr="00A616E4">
              <w:rPr>
                <w:lang w:val="en-US"/>
              </w:rPr>
              <w:t>TranslateGemma-12B (Finkelstein et al., 2026)</w:t>
            </w:r>
          </w:p>
        </w:tc>
        <w:tc>
          <w:tcPr>
            <w:tcW w:w="1619" w:type="dxa"/>
          </w:tcPr>
          <w:p w14:paraId="2438D315" w14:textId="77777777" w:rsidR="00636E09" w:rsidRDefault="00226D26">
            <w:pPr>
              <w:cnfStyle w:val="000000000000" w:firstRow="0" w:lastRow="0" w:firstColumn="0" w:lastColumn="0" w:oddVBand="0" w:evenVBand="0" w:oddHBand="0" w:evenHBand="0" w:firstRowFirstColumn="0" w:firstRowLastColumn="0" w:lastRowFirstColumn="0" w:lastRowLastColumn="0"/>
            </w:pPr>
            <w:r>
              <w:t>12 mil millones</w:t>
            </w:r>
          </w:p>
        </w:tc>
        <w:tc>
          <w:tcPr>
            <w:tcW w:w="932" w:type="dxa"/>
          </w:tcPr>
          <w:p w14:paraId="33069D2E" w14:textId="77777777" w:rsidR="00636E09" w:rsidRDefault="00226D26">
            <w:pPr>
              <w:cnfStyle w:val="000000000000" w:firstRow="0" w:lastRow="0" w:firstColumn="0" w:lastColumn="0" w:oddVBand="0" w:evenVBand="0" w:oddHBand="0" w:evenHBand="0" w:firstRowFirstColumn="0" w:firstRowLastColumn="0" w:lastRowFirstColumn="0" w:lastRowLastColumn="0"/>
            </w:pPr>
            <w:r>
              <w:t>Multilingüe</w:t>
            </w:r>
          </w:p>
        </w:tc>
        <w:tc>
          <w:tcPr>
            <w:tcW w:w="1516" w:type="dxa"/>
          </w:tcPr>
          <w:p w14:paraId="1FC8AB4E" w14:textId="77777777" w:rsidR="00636E09" w:rsidRDefault="00226D26">
            <w:pPr>
              <w:cnfStyle w:val="000000000000" w:firstRow="0" w:lastRow="0" w:firstColumn="0" w:lastColumn="0" w:oddVBand="0" w:evenVBand="0" w:oddHBand="0" w:evenHBand="0" w:firstRowFirstColumn="0" w:firstRowLastColumn="0" w:lastRowFirstColumn="0" w:lastRowLastColumn="0"/>
            </w:pPr>
            <w:r>
              <w:t>Parcial</w:t>
            </w:r>
          </w:p>
        </w:tc>
        <w:tc>
          <w:tcPr>
            <w:tcW w:w="950" w:type="dxa"/>
          </w:tcPr>
          <w:p w14:paraId="70608EA6" w14:textId="77777777" w:rsidR="00636E09" w:rsidRDefault="00226D26">
            <w:pPr>
              <w:cnfStyle w:val="000000000000" w:firstRow="0" w:lastRow="0" w:firstColumn="0" w:lastColumn="0" w:oddVBand="0" w:evenVBand="0" w:oddHBand="0" w:evenHBand="0" w:firstRowFirstColumn="0" w:firstRowLastColumn="0" w:lastRowFirstColumn="0" w:lastRowLastColumn="0"/>
            </w:pPr>
            <w:r>
              <w:t xml:space="preserve">Gemma </w:t>
            </w:r>
            <w:proofErr w:type="spellStart"/>
            <w:r>
              <w:t>License</w:t>
            </w:r>
            <w:proofErr w:type="spellEnd"/>
          </w:p>
        </w:tc>
        <w:tc>
          <w:tcPr>
            <w:tcW w:w="1078" w:type="dxa"/>
          </w:tcPr>
          <w:p w14:paraId="434D62CD" w14:textId="77777777" w:rsidR="00636E09" w:rsidRDefault="00226D26">
            <w:pPr>
              <w:cnfStyle w:val="000000000000" w:firstRow="0" w:lastRow="0" w:firstColumn="0" w:lastColumn="0" w:oddVBand="0" w:evenVBand="0" w:oddHBand="0" w:evenHBand="0" w:firstRowFirstColumn="0" w:firstRowLastColumn="0" w:lastRowFirstColumn="0" w:lastRowLastColumn="0"/>
            </w:pPr>
            <w:proofErr w:type="spellStart"/>
            <w:r>
              <w:t>Decoder-only</w:t>
            </w:r>
            <w:proofErr w:type="spellEnd"/>
          </w:p>
        </w:tc>
        <w:tc>
          <w:tcPr>
            <w:tcW w:w="1411" w:type="dxa"/>
          </w:tcPr>
          <w:p w14:paraId="0AD42CEA" w14:textId="77777777" w:rsidR="00636E09" w:rsidRDefault="00226D26">
            <w:pPr>
              <w:cnfStyle w:val="000000000000" w:firstRow="0" w:lastRow="0" w:firstColumn="0" w:lastColumn="0" w:oddVBand="0" w:evenVBand="0" w:oddHBand="0" w:evenHBand="0" w:firstRowFirstColumn="0" w:firstRowLastColumn="0" w:lastRowFirstColumn="0" w:lastRowLastColumn="0"/>
            </w:pPr>
            <w:r>
              <w:t>Sí, con ajuste fino eficiente</w:t>
            </w:r>
          </w:p>
        </w:tc>
      </w:tr>
    </w:tbl>
    <w:p w14:paraId="0D05B6D1" w14:textId="77777777" w:rsidR="00636E09" w:rsidRPr="00A616E4" w:rsidRDefault="00226D26">
      <w:pPr>
        <w:pStyle w:val="Piedefoto-tabla"/>
        <w:jc w:val="both"/>
        <w:rPr>
          <w:lang w:val="es-CO"/>
        </w:rPr>
      </w:pPr>
      <w:r w:rsidRPr="00A616E4">
        <w:rPr>
          <w:i/>
          <w:lang w:val="es-CO"/>
        </w:rPr>
        <w:t xml:space="preserve">Nota. </w:t>
      </w:r>
      <w:r w:rsidRPr="00A616E4">
        <w:rPr>
          <w:lang w:val="es-CO"/>
        </w:rPr>
        <w:t>Elaboración propia con base en la documentación técnica publicada por los autores respectivos.</w:t>
      </w:r>
    </w:p>
    <w:p w14:paraId="2F431AC9" w14:textId="77777777" w:rsidR="00636E09" w:rsidRDefault="00226D26">
      <w:r>
        <w:t xml:space="preserve">La decisión metodológica del presente proyecto consiste en adoptar </w:t>
      </w:r>
      <w:r>
        <w:rPr>
          <w:b/>
        </w:rPr>
        <w:t>NLLB-200-distilled-600M</w:t>
      </w:r>
      <w:r>
        <w:t xml:space="preserve"> como modelo principal para la fase de prototipado rápido, por su menor requerimiento de cómputo y tiempo de iteración, y </w:t>
      </w:r>
      <w:r>
        <w:rPr>
          <w:b/>
        </w:rPr>
        <w:t>NLLB-200-3.3B</w:t>
      </w:r>
      <w:r>
        <w:t xml:space="preserve"> como modelo principal para los experimentos finales. La justificación es triple. Primero, NLLB-200 es el modelo dominante en </w:t>
      </w:r>
      <w:r>
        <w:lastRenderedPageBreak/>
        <w:t xml:space="preserve">las competiciones </w:t>
      </w:r>
      <w:proofErr w:type="spellStart"/>
      <w:r>
        <w:t>AmericasNLP</w:t>
      </w:r>
      <w:proofErr w:type="spellEnd"/>
      <w:r>
        <w:t xml:space="preserve"> de los últimos años, tal como evidencian los trabajos de </w:t>
      </w:r>
      <w:proofErr w:type="spellStart"/>
      <w:r>
        <w:t>Garcia</w:t>
      </w:r>
      <w:proofErr w:type="spellEnd"/>
      <w:r>
        <w:t xml:space="preserve"> Gilabert et al. (2024), Attieh et al. (2024) y DeGenaro y Lupicki (2024), lo que asegura compatibilidad metodológica con el estado del arte. Segundo, incluye explícitamente Quechua Ayacucho (</w:t>
      </w:r>
      <w:proofErr w:type="spellStart"/>
      <w:r>
        <w:t>quy_Latn</w:t>
      </w:r>
      <w:proofErr w:type="spellEnd"/>
      <w:r>
        <w:t xml:space="preserve">) entre sus 200 lenguas soportadas, habilitando transferencia directa </w:t>
      </w:r>
      <w:proofErr w:type="spellStart"/>
      <w:r>
        <w:t>cross</w:t>
      </w:r>
      <w:proofErr w:type="spellEnd"/>
      <w:r>
        <w:t xml:space="preserve">-lingual hacia el Inga. Tercero, la versión de 3.3 mil millones de parámetros resulta ajustable de manera completa o mediante </w:t>
      </w:r>
      <w:proofErr w:type="spellStart"/>
      <w:r>
        <w:t>LoRA</w:t>
      </w:r>
      <w:proofErr w:type="spellEnd"/>
      <w:r>
        <w:t xml:space="preserve"> en la estación local disponible para el proyecto (Apple M4 Max con 128 GB de RAM unificada), eliminando la dependencia de plataformas </w:t>
      </w:r>
      <w:proofErr w:type="spellStart"/>
      <w:r>
        <w:t>cloud</w:t>
      </w:r>
      <w:proofErr w:type="spellEnd"/>
      <w:r>
        <w:t>.</w:t>
      </w:r>
    </w:p>
    <w:p w14:paraId="3C6766F6" w14:textId="77777777" w:rsidR="00636E09" w:rsidRDefault="049C66FE">
      <w:pPr>
        <w:pStyle w:val="Heading2"/>
      </w:pPr>
      <w:bookmarkStart w:id="49" w:name="_Toc230950261"/>
      <w:bookmarkStart w:id="50" w:name="_Toc233199074"/>
      <w:r>
        <w:t>Conclusiones del capítulo</w:t>
      </w:r>
      <w:bookmarkEnd w:id="49"/>
      <w:bookmarkEnd w:id="50"/>
    </w:p>
    <w:p w14:paraId="65E5D251" w14:textId="77777777" w:rsidR="00636E09" w:rsidRDefault="00226D26">
      <w:r>
        <w:t xml:space="preserve">La revisión del estado del arte presentada en este capítulo permite derivar cuatro conclusiones fundamentales que orientan el diseño metodológico del presente </w:t>
      </w:r>
      <w:r w:rsidR="00ED122C">
        <w:t>trabajo</w:t>
      </w:r>
      <w:r>
        <w:t>.</w:t>
      </w:r>
    </w:p>
    <w:p w14:paraId="3CC25D4B" w14:textId="77777777" w:rsidR="00636E09" w:rsidRDefault="00226D26">
      <w:r>
        <w:t xml:space="preserve">Primero, la viabilidad técnica de adaptar modelos de traducción automática multilingüe </w:t>
      </w:r>
      <w:proofErr w:type="spellStart"/>
      <w:r>
        <w:t>preentrenados</w:t>
      </w:r>
      <w:proofErr w:type="spellEnd"/>
      <w:r>
        <w:t xml:space="preserve"> a lenguas indígenas de América Latina mediante transferencia desde parientes lingüísticos está sólidamente documentada. Los resultados del equipo BSC en </w:t>
      </w:r>
      <w:proofErr w:type="spellStart"/>
      <w:r>
        <w:t>AmericasNLP</w:t>
      </w:r>
      <w:proofErr w:type="spellEnd"/>
      <w:r>
        <w:t xml:space="preserve"> 2024 (</w:t>
      </w:r>
      <w:proofErr w:type="spellStart"/>
      <w:r>
        <w:t>Garcia</w:t>
      </w:r>
      <w:proofErr w:type="spellEnd"/>
      <w:r>
        <w:t xml:space="preserve"> Gilabert et al., 2024), así como los de Chen et al. (2024) con </w:t>
      </w:r>
      <w:proofErr w:type="spellStart"/>
      <w:r>
        <w:t>QueEn</w:t>
      </w:r>
      <w:proofErr w:type="spellEnd"/>
      <w:r>
        <w:t xml:space="preserve">, muestran que el par tecnológico central del proyecto, NLLB-200 como modelo base, ajustado mediante </w:t>
      </w:r>
      <w:proofErr w:type="spellStart"/>
      <w:r>
        <w:t>LoRA</w:t>
      </w:r>
      <w:proofErr w:type="spellEnd"/>
      <w:r>
        <w:t xml:space="preserve"> con transferencia desde Quechua Ayacucho, es competitivo en el estado del arte para variantes del </w:t>
      </w:r>
      <w:proofErr w:type="gramStart"/>
      <w:r>
        <w:t>Quechua</w:t>
      </w:r>
      <w:proofErr w:type="gramEnd"/>
      <w:r>
        <w:t xml:space="preserve"> con cantidades de datos comparables a las disponibles para el Inga.</w:t>
      </w:r>
    </w:p>
    <w:p w14:paraId="0781E75B" w14:textId="77777777" w:rsidR="00636E09" w:rsidRDefault="00226D26">
      <w:r>
        <w:t xml:space="preserve">Segundo, el paradigma de modelos de lenguaje de frontera con recuperación aumentada ha emergido como una alternativa complementaria con propiedades favorables específicas para lenguas de bajos recursos. La "eficiencia de recursos" documentada para Claude por Enis y Hopkins (2024), junto con la evidencia sobre </w:t>
      </w:r>
      <w:r>
        <w:rPr>
          <w:i/>
        </w:rPr>
        <w:t>in-</w:t>
      </w:r>
      <w:proofErr w:type="spellStart"/>
      <w:r>
        <w:rPr>
          <w:i/>
        </w:rPr>
        <w:t>context</w:t>
      </w:r>
      <w:proofErr w:type="spellEnd"/>
      <w:r>
        <w:rPr>
          <w:i/>
        </w:rPr>
        <w:t xml:space="preserve"> </w:t>
      </w:r>
      <w:proofErr w:type="spellStart"/>
      <w:r>
        <w:rPr>
          <w:i/>
        </w:rPr>
        <w:t>learning</w:t>
      </w:r>
      <w:proofErr w:type="spellEnd"/>
      <w:r>
        <w:rPr>
          <w:i/>
        </w:rPr>
        <w:t xml:space="preserve"> </w:t>
      </w:r>
      <w:proofErr w:type="spellStart"/>
      <w:r>
        <w:rPr>
          <w:i/>
        </w:rPr>
        <w:t>few-shot</w:t>
      </w:r>
      <w:proofErr w:type="spellEnd"/>
      <w:r>
        <w:t xml:space="preserve"> de </w:t>
      </w:r>
      <w:proofErr w:type="spellStart"/>
      <w:r>
        <w:t>Cahyawijaya</w:t>
      </w:r>
      <w:proofErr w:type="spellEnd"/>
      <w:r>
        <w:t>, Lovenia y Fung (2024), sustentan la segunda línea experimental del presente trabajo.</w:t>
      </w:r>
    </w:p>
    <w:p w14:paraId="1D95511F" w14:textId="77777777" w:rsidR="00636E09" w:rsidRDefault="00226D26">
      <w:r>
        <w:t xml:space="preserve">Tercero, existe un vacío específico en la literatura que el presente </w:t>
      </w:r>
      <w:r w:rsidR="00ED122C">
        <w:t>trabajo</w:t>
      </w:r>
      <w:r>
        <w:t xml:space="preserve"> contribuye a cerrar: no se ha identificado ningún trabajo previo que compare sistemáticamente ambas aproximaciones, ajuste fino eficiente de NMT multilingüe versus modelo de lenguaje de frontera con recuperación aumentada, sobre el mismo par lingüístico de bajos recursos, y </w:t>
      </w:r>
      <w:r>
        <w:lastRenderedPageBreak/>
        <w:t>tampoco trabajos que aborden el Inga con cobertura dialectal explícita de Alto Putumayo y Medio Putumayo. Ambas contribuciones constituyen el aporte original del proyecto.</w:t>
      </w:r>
    </w:p>
    <w:p w14:paraId="0455DB8C" w14:textId="77777777" w:rsidR="00636E09" w:rsidRDefault="00226D26">
      <w:r>
        <w:t>Cuarto, la evaluación de sistemas de traducción automática para lenguas aglutinantes como el Inga requiere métricas que complementen al BLEU con alternativas sensibles a la morfología (</w:t>
      </w:r>
      <w:proofErr w:type="spellStart"/>
      <w:r>
        <w:t>chrF</w:t>
      </w:r>
      <w:proofErr w:type="spellEnd"/>
      <w:r>
        <w:t>++, Popović, 2017) y a la semántica profunda (</w:t>
      </w:r>
      <w:proofErr w:type="spellStart"/>
      <w:r>
        <w:t>BERTScore</w:t>
      </w:r>
      <w:proofErr w:type="spellEnd"/>
      <w:r>
        <w:t xml:space="preserve">, Zhang et al., 2020; COMET, Rei et al., 2022). La validación humana con hablantes nativos es además indispensable para capturar dimensiones de calidad no reflejadas por las métricas automáticas, tal como enfatizan Ebrahimi et al. (2024) y de Gibert et al. (2025) en los </w:t>
      </w:r>
      <w:proofErr w:type="spellStart"/>
      <w:r>
        <w:rPr>
          <w:i/>
        </w:rPr>
        <w:t>findings</w:t>
      </w:r>
      <w:proofErr w:type="spellEnd"/>
      <w:r>
        <w:t xml:space="preserve"> oficiales de </w:t>
      </w:r>
      <w:proofErr w:type="spellStart"/>
      <w:r>
        <w:t>AmericasNLP</w:t>
      </w:r>
      <w:proofErr w:type="spellEnd"/>
      <w:r>
        <w:t>.</w:t>
      </w:r>
    </w:p>
    <w:p w14:paraId="6CD42FB2" w14:textId="77777777" w:rsidR="00636E09" w:rsidRDefault="00226D26">
      <w:r>
        <w:t xml:space="preserve">Estas conclusiones justifican la metodología que se expone en el siguiente capítulo, organizada en siete fases que abordan secuencialmente la configuración del entorno, la construcción del corpus </w:t>
      </w:r>
      <w:proofErr w:type="spellStart"/>
      <w:r>
        <w:t>bidialectal</w:t>
      </w:r>
      <w:proofErr w:type="spellEnd"/>
      <w:r>
        <w:t>, el diseño de la base de conocimiento, las dos líneas experimentales centrales del proyecto, la evaluación comparativa rigurosa y el despliegue final.</w:t>
      </w:r>
    </w:p>
    <w:p w14:paraId="2336B574" w14:textId="77777777" w:rsidR="00636E09" w:rsidRDefault="049C66FE">
      <w:pPr>
        <w:pStyle w:val="Heading1"/>
        <w:pageBreakBefore/>
      </w:pPr>
      <w:bookmarkStart w:id="51" w:name="_Toc230950262"/>
      <w:bookmarkStart w:id="52" w:name="_Toc233199075"/>
      <w:r>
        <w:lastRenderedPageBreak/>
        <w:t>Objetivos concretos y metodología de trabajo</w:t>
      </w:r>
      <w:bookmarkEnd w:id="51"/>
      <w:bookmarkEnd w:id="52"/>
    </w:p>
    <w:p w14:paraId="04DBEB4D" w14:textId="77777777" w:rsidR="00636E09" w:rsidRDefault="049C66FE">
      <w:pPr>
        <w:pStyle w:val="Heading2"/>
      </w:pPr>
      <w:bookmarkStart w:id="53" w:name="_Toc230950263"/>
      <w:bookmarkStart w:id="54" w:name="_Toc233199076"/>
      <w:r>
        <w:t>Objetivo general</w:t>
      </w:r>
      <w:bookmarkEnd w:id="53"/>
      <w:bookmarkEnd w:id="54"/>
    </w:p>
    <w:p w14:paraId="03DE9961" w14:textId="77777777" w:rsidR="00636E09" w:rsidRDefault="00226D26">
      <w:r>
        <w:t>Desarrollar y evaluar un sistema de traducción automática Inga-</w:t>
      </w:r>
      <w:proofErr w:type="gramStart"/>
      <w:r>
        <w:t>Español</w:t>
      </w:r>
      <w:proofErr w:type="gramEnd"/>
      <w:r>
        <w:t xml:space="preserve"> que combine la adaptación de modelos de traducción automática multilingüe con aproximaciones basadas en recuperación aumentada de información sobre modelos de lenguaje de frontera, con el fin de contribuir a la preservación digital de la lengua Inga del Putumayo.</w:t>
      </w:r>
    </w:p>
    <w:p w14:paraId="0DAEDEC1" w14:textId="77777777" w:rsidR="00636E09" w:rsidRDefault="049C66FE">
      <w:pPr>
        <w:pStyle w:val="Heading2"/>
      </w:pPr>
      <w:bookmarkStart w:id="55" w:name="_Toc230950264"/>
      <w:bookmarkStart w:id="56" w:name="_Toc233199077"/>
      <w:r>
        <w:t>Objetivos específicos</w:t>
      </w:r>
      <w:bookmarkEnd w:id="55"/>
      <w:bookmarkEnd w:id="56"/>
    </w:p>
    <w:p w14:paraId="08A454A7"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Del objetivo general se derivan siete objetivos operativos que ordenan el trabajo según las dependencias técnicas naturales del proyecto, desde la preparación del entorno hasta el despliegue de los modelos. Cada uno tiene asociado un criterio de cumplimiento verificable.</w:t>
      </w:r>
    </w:p>
    <w:p w14:paraId="23504989"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La primera tarea es preparar el entorno de cómputo local en hardware Apple Silicon, con las bibliotecas de procesamiento del lenguaje natural, la aceleración por GPU integrada y la infraestructura mínima de seguimiento de experimentos. El criterio operativo asociado es ejecutar con éxito una inferencia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de un modelo multilingüe </w:t>
      </w:r>
      <w:proofErr w:type="spellStart"/>
      <w:r w:rsidRPr="3DB4A857">
        <w:rPr>
          <w:rFonts w:ascii="Calibri" w:eastAsia="Calibri" w:hAnsi="Calibri" w:cs="Calibri"/>
          <w:color w:val="000000" w:themeColor="text1"/>
        </w:rPr>
        <w:t>preentrenado</w:t>
      </w:r>
      <w:proofErr w:type="spellEnd"/>
      <w:r w:rsidRPr="3DB4A857">
        <w:rPr>
          <w:rFonts w:ascii="Calibri" w:eastAsia="Calibri" w:hAnsi="Calibri" w:cs="Calibri"/>
          <w:color w:val="000000" w:themeColor="text1"/>
        </w:rPr>
        <w:t xml:space="preserve">, lo que valida que el </w:t>
      </w:r>
      <w:proofErr w:type="spellStart"/>
      <w:r w:rsidRPr="3DB4A857">
        <w:rPr>
          <w:rFonts w:ascii="Calibri" w:eastAsia="Calibri" w:hAnsi="Calibri" w:cs="Calibri"/>
          <w:color w:val="000000" w:themeColor="text1"/>
        </w:rPr>
        <w:t>stack</w:t>
      </w:r>
      <w:proofErr w:type="spellEnd"/>
      <w:r w:rsidRPr="3DB4A857">
        <w:rPr>
          <w:rFonts w:ascii="Calibri" w:eastAsia="Calibri" w:hAnsi="Calibri" w:cs="Calibri"/>
          <w:color w:val="000000" w:themeColor="text1"/>
        </w:rPr>
        <w:t xml:space="preserve"> funciona extremo a extremo antes de comprometer tiempo en datos o entrenamiento.</w:t>
      </w:r>
    </w:p>
    <w:p w14:paraId="5A21CF74"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A </w:t>
      </w:r>
      <w:proofErr w:type="gramStart"/>
      <w:r w:rsidRPr="3DB4A857">
        <w:rPr>
          <w:rFonts w:ascii="Calibri" w:eastAsia="Calibri" w:hAnsi="Calibri" w:cs="Calibri"/>
          <w:color w:val="000000" w:themeColor="text1"/>
        </w:rPr>
        <w:t>continuación</w:t>
      </w:r>
      <w:proofErr w:type="gramEnd"/>
      <w:r w:rsidRPr="3DB4A857">
        <w:rPr>
          <w:rFonts w:ascii="Calibri" w:eastAsia="Calibri" w:hAnsi="Calibri" w:cs="Calibri"/>
          <w:color w:val="000000" w:themeColor="text1"/>
        </w:rPr>
        <w:t xml:space="preserve"> viene la construcción del corpus paralelo. Las fuentes disponibles son escasas y heterogéneas: el Nuevo Testamento Inga publicado por </w:t>
      </w:r>
      <w:proofErr w:type="spellStart"/>
      <w:r w:rsidRPr="3DB4A857">
        <w:rPr>
          <w:rFonts w:ascii="Calibri" w:eastAsia="Calibri" w:hAnsi="Calibri" w:cs="Calibri"/>
          <w:color w:val="000000" w:themeColor="text1"/>
        </w:rPr>
        <w:t>Wycliffe</w:t>
      </w:r>
      <w:proofErr w:type="spellEnd"/>
      <w:r w:rsidRPr="3DB4A857">
        <w:rPr>
          <w:rFonts w:ascii="Calibri" w:eastAsia="Calibri" w:hAnsi="Calibri" w:cs="Calibri"/>
          <w:color w:val="000000" w:themeColor="text1"/>
        </w:rPr>
        <w:t xml:space="preserve">, las narrativas orales recopiladas en </w:t>
      </w:r>
      <w:proofErr w:type="spellStart"/>
      <w:r w:rsidRPr="3DB4A857">
        <w:rPr>
          <w:rFonts w:ascii="Calibri" w:eastAsia="Calibri" w:hAnsi="Calibri" w:cs="Calibri"/>
          <w:i/>
          <w:iCs/>
          <w:color w:val="000000" w:themeColor="text1"/>
        </w:rPr>
        <w:t>Antihua</w:t>
      </w:r>
      <w:proofErr w:type="spellEnd"/>
      <w:r w:rsidRPr="3DB4A857">
        <w:rPr>
          <w:rFonts w:ascii="Calibri" w:eastAsia="Calibri" w:hAnsi="Calibri" w:cs="Calibri"/>
          <w:i/>
          <w:iCs/>
          <w:color w:val="000000" w:themeColor="text1"/>
        </w:rPr>
        <w:t xml:space="preserve"> Pacay</w:t>
      </w:r>
      <w:r w:rsidRPr="3DB4A857">
        <w:rPr>
          <w:rFonts w:ascii="Calibri" w:eastAsia="Calibri" w:hAnsi="Calibri" w:cs="Calibri"/>
          <w:color w:val="000000" w:themeColor="text1"/>
        </w:rPr>
        <w:t>, el diccionario Tandioy, la gramática pedagógica de Levinsohn y un apéndice morfosintáctico del proyecto Rosetta. El reto está en extraer, alinear, normalizar y particionar todo esto en conjuntos de entrenamiento, validación y prueba aprovechables. La meta mínima cuantitativa son 5.000 pares paralelos; la cobertura debe alcanzar las dos variantes dialectales del Inga, Alto y Medio Putumayo, aunque el balance entre ambas dependerá de la calidad efectiva de las fuentes de cada lado.</w:t>
      </w:r>
    </w:p>
    <w:p w14:paraId="5E20884E"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En paralelo se construye la base de conocimiento lingüístico que alimentará la línea experimental del modelo de lenguaje de frontera. Esta base se estructura </w:t>
      </w:r>
      <w:r w:rsidRPr="3DB4A857">
        <w:rPr>
          <w:rFonts w:ascii="Calibri" w:eastAsia="Calibri" w:hAnsi="Calibri" w:cs="Calibri"/>
          <w:color w:val="000000" w:themeColor="text1"/>
        </w:rPr>
        <w:lastRenderedPageBreak/>
        <w:t>deliberadamente en índices separados, no en un único índice mezclado, para que el sistema de recuperación pueda dirigir cada consulta al tipo de conocimiento relevante: el índice léxico para palabras del diccionario, el índice gramatical para reglas morfosintácticas, el índice de ejemplos para pares Inga-español similares semánticamente. Se considera cumplido cuando la base es consultable y cubre al menos 800 entradas léxicas, las reglas gramaticales principales del Inga y una muestra representativa del corpus paralelo.</w:t>
      </w:r>
    </w:p>
    <w:p w14:paraId="2119F925"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El cuarto objetivo es la adaptación de un modelo de traducción multilingüe </w:t>
      </w:r>
      <w:proofErr w:type="spellStart"/>
      <w:r w:rsidRPr="3DB4A857">
        <w:rPr>
          <w:rFonts w:ascii="Calibri" w:eastAsia="Calibri" w:hAnsi="Calibri" w:cs="Calibri"/>
          <w:color w:val="000000" w:themeColor="text1"/>
        </w:rPr>
        <w:t>preentrenado</w:t>
      </w:r>
      <w:proofErr w:type="spellEnd"/>
      <w:r w:rsidRPr="3DB4A857">
        <w:rPr>
          <w:rFonts w:ascii="Calibri" w:eastAsia="Calibri" w:hAnsi="Calibri" w:cs="Calibri"/>
          <w:color w:val="000000" w:themeColor="text1"/>
        </w:rPr>
        <w:t xml:space="preserve"> al par Inga-español. La técnica elegida es ajuste fino eficiente en parámetros, que evita reentrenar el modelo completo y aprovecha las representaciones de las lenguas quechuas emparentadas que el modelo ya conoce de su preentrenamiento. La adaptación se considera lograda cuando supera, en el conjunto de prueba, la línea base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del mismo modelo base sin ajuste.</w:t>
      </w:r>
    </w:p>
    <w:p w14:paraId="7C77CDFD"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La quinta línea de trabajo implementa el pipeline alternativo: un modelo de lenguaje de frontera consume </w:t>
      </w:r>
      <w:r w:rsidRPr="3DB4A857">
        <w:rPr>
          <w:rFonts w:ascii="Calibri" w:eastAsia="Calibri" w:hAnsi="Calibri" w:cs="Calibri"/>
          <w:i/>
          <w:iCs/>
          <w:color w:val="000000" w:themeColor="text1"/>
        </w:rPr>
        <w:t>prompts</w:t>
      </w:r>
      <w:r w:rsidRPr="3DB4A857">
        <w:rPr>
          <w:rFonts w:ascii="Calibri" w:eastAsia="Calibri" w:hAnsi="Calibri" w:cs="Calibri"/>
          <w:color w:val="000000" w:themeColor="text1"/>
        </w:rPr>
        <w:t xml:space="preserve"> estructurados que se construyen dinámicamente recuperando contexto desde los tres índices de la base de conocimiento. El criterio de cumplimiento aquí es funcional más que cuantitativo: el pipeline debe integrar los tres índices, mantener tiempos de inferencia razonables en lote y producir traducciones consistentes en estructura.</w:t>
      </w:r>
    </w:p>
    <w:p w14:paraId="1B26630A"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Una vez ambas líneas están operativas, se ejecuta la evaluación comparativa con métricas automáticas estándar (BLEU,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y validación cualitativa con hablantes nativos en las dimensiones de adecuación semántica, fluidez gramatical y naturalidad cultural. El informe final debe cubrir al menos cinco configuraciones experimentales con validación humana sobre una muestra representativa de traducciones.</w:t>
      </w:r>
    </w:p>
    <w:p w14:paraId="2AB24157" w14:textId="77777777" w:rsidR="15665957" w:rsidRDefault="15665957" w:rsidP="3DB4A857">
      <w:pPr>
        <w:pStyle w:val="ListParagraph"/>
        <w:numPr>
          <w:ilvl w:val="0"/>
          <w:numId w:val="47"/>
        </w:numPr>
        <w:shd w:val="clear" w:color="auto" w:fill="FFFFFF" w:themeFill="background1"/>
        <w:rPr>
          <w:rFonts w:ascii="Calibri" w:eastAsia="Calibri" w:hAnsi="Calibri" w:cs="Calibri"/>
          <w:color w:val="000000" w:themeColor="text1"/>
        </w:rPr>
      </w:pPr>
      <w:r w:rsidRPr="3DB4A857">
        <w:rPr>
          <w:rFonts w:ascii="Calibri" w:eastAsia="Calibri" w:hAnsi="Calibri" w:cs="Calibri"/>
          <w:color w:val="000000" w:themeColor="text1"/>
        </w:rPr>
        <w:t xml:space="preserve">El cierre del proyecto consiste en empaquetar el sistema resultante como una aplicación local reproducible y documentar el marco metodológico de manera que sea reutilizable por otras lenguas indígenas en situación análoga. El entregable concreto </w:t>
      </w:r>
      <w:r w:rsidRPr="3DB4A857">
        <w:rPr>
          <w:rFonts w:ascii="Calibri" w:eastAsia="Calibri" w:hAnsi="Calibri" w:cs="Calibri"/>
          <w:color w:val="000000" w:themeColor="text1"/>
        </w:rPr>
        <w:lastRenderedPageBreak/>
        <w:t>es un repositorio público con instrucciones de despliegue y un documento metodológico que explicite las decisiones tomadas en cada fase.</w:t>
      </w:r>
    </w:p>
    <w:p w14:paraId="13815DC1" w14:textId="77777777" w:rsidR="00636E09" w:rsidRDefault="049C66FE">
      <w:pPr>
        <w:pStyle w:val="Heading2"/>
      </w:pPr>
      <w:bookmarkStart w:id="57" w:name="_Toc230950265"/>
      <w:bookmarkStart w:id="58" w:name="_Toc233199078"/>
      <w:r>
        <w:t>Metodología del trabajo</w:t>
      </w:r>
      <w:bookmarkEnd w:id="57"/>
      <w:bookmarkEnd w:id="58"/>
    </w:p>
    <w:p w14:paraId="64F682F6" w14:textId="77777777" w:rsidR="00636E09" w:rsidRDefault="049C66FE">
      <w:pPr>
        <w:pStyle w:val="Heading3"/>
        <w:rPr>
          <w:b w:val="0"/>
          <w:bCs w:val="0"/>
        </w:rPr>
      </w:pPr>
      <w:bookmarkStart w:id="59" w:name="_Toc230950266"/>
      <w:bookmarkStart w:id="60" w:name="_Toc233199079"/>
      <w:r>
        <w:rPr>
          <w:b w:val="0"/>
          <w:bCs w:val="0"/>
        </w:rPr>
        <w:t>Enfoque metodológico</w:t>
      </w:r>
      <w:bookmarkEnd w:id="59"/>
      <w:bookmarkEnd w:id="60"/>
    </w:p>
    <w:p w14:paraId="600B0D01" w14:textId="77777777" w:rsidR="00636E09" w:rsidRDefault="049C66FE">
      <w:r>
        <w:t xml:space="preserve">El presente </w:t>
      </w:r>
      <w:r w:rsidR="3DE66B89">
        <w:t>trabajo</w:t>
      </w:r>
      <w:r>
        <w:t xml:space="preserve"> adopta un enfoque de investigación aplicada con diseño experimental comparativo. La estrategia central consiste en desarrollar dos sistemas de traducción en paralelo, uno basado en el ajuste fino eficiente de un modelo multilingüe </w:t>
      </w:r>
      <w:proofErr w:type="spellStart"/>
      <w:r>
        <w:t>preentrenado</w:t>
      </w:r>
      <w:proofErr w:type="spellEnd"/>
      <w:r>
        <w:t xml:space="preserve"> y otro basado en un modelo de lenguaje de frontera con recuperación aumentada de información, y evaluar rigurosamente cuál produce mejores traducciones para el par Inga-</w:t>
      </w:r>
      <w:proofErr w:type="gramStart"/>
      <w:r>
        <w:t>Español</w:t>
      </w:r>
      <w:proofErr w:type="gramEnd"/>
      <w:r>
        <w:t>. La evaluación se realiza con métricas automáticas estandarizadas y con validación humana por hablantes nativos, asegurando la triangulación de las conclusiones.</w:t>
      </w:r>
    </w:p>
    <w:p w14:paraId="22FEBFF3" w14:textId="77777777" w:rsidR="2D1A7CF9" w:rsidRDefault="2D1A7CF9" w:rsidP="3DB4A857">
      <w:pPr>
        <w:pStyle w:val="Heading3"/>
        <w:numPr>
          <w:ilvl w:val="0"/>
          <w:numId w:val="0"/>
        </w:numPr>
        <w:rPr>
          <w:rFonts w:ascii="Calibri Light" w:eastAsia="Calibri Light" w:hAnsi="Calibri Light" w:cs="Calibri Light"/>
          <w:color w:val="000000" w:themeColor="text1"/>
          <w:szCs w:val="24"/>
        </w:rPr>
      </w:pPr>
      <w:bookmarkStart w:id="61" w:name="_Toc230950267"/>
      <w:bookmarkStart w:id="62" w:name="_Toc233199080"/>
      <w:r w:rsidRPr="3DB4A857">
        <w:rPr>
          <w:rFonts w:ascii="Calibri Light" w:eastAsia="Calibri Light" w:hAnsi="Calibri Light" w:cs="Calibri Light"/>
          <w:b w:val="0"/>
          <w:bCs w:val="0"/>
          <w:color w:val="000000" w:themeColor="text1"/>
          <w:szCs w:val="24"/>
        </w:rPr>
        <w:t>3.3.2 Fases del proyecto</w:t>
      </w:r>
      <w:bookmarkEnd w:id="61"/>
      <w:bookmarkEnd w:id="62"/>
    </w:p>
    <w:p w14:paraId="221685ED"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El trabajo se organiza en siete fases con una correspondencia uno a uno con los objetivos específicos enunciados en la sección 3.2. El detalle pedagógico y técnico de cada fase se resume a continuación; la ejecución concreta se documenta en el Capítulo 4.</w:t>
      </w:r>
    </w:p>
    <w:p w14:paraId="551C94DC"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La fase inicial es la configuración del entorno de cómputo: instalación de las bibliotecas de NLP (</w:t>
      </w:r>
      <w:r w:rsidRPr="3DB4A857">
        <w:rPr>
          <w:rFonts w:ascii="Calibri" w:eastAsia="Calibri" w:hAnsi="Calibri" w:cs="Calibri"/>
          <w:i/>
          <w:iCs/>
          <w:color w:val="000000" w:themeColor="text1"/>
        </w:rPr>
        <w:t>Transformers</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PEFT</w:t>
      </w:r>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Accelerate</w:t>
      </w:r>
      <w:proofErr w:type="spellEnd"/>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sentence-transformers</w:t>
      </w:r>
      <w:proofErr w:type="spellEnd"/>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sacrebleu</w:t>
      </w:r>
      <w:proofErr w:type="spellEnd"/>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datasets</w:t>
      </w:r>
      <w:proofErr w:type="spellEnd"/>
      <w:r w:rsidRPr="3DB4A857">
        <w:rPr>
          <w:rFonts w:ascii="Calibri" w:eastAsia="Calibri" w:hAnsi="Calibri" w:cs="Calibri"/>
          <w:color w:val="000000" w:themeColor="text1"/>
        </w:rPr>
        <w:t xml:space="preserve">) sobre Apple Silicon y validación de la aceleración MPS por hardware. Se cierra con una inferencia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de prueba sobre un modelo multilingüe </w:t>
      </w:r>
      <w:proofErr w:type="spellStart"/>
      <w:r w:rsidRPr="3DB4A857">
        <w:rPr>
          <w:rFonts w:ascii="Calibri" w:eastAsia="Calibri" w:hAnsi="Calibri" w:cs="Calibri"/>
          <w:color w:val="000000" w:themeColor="text1"/>
        </w:rPr>
        <w:t>preentrenado</w:t>
      </w:r>
      <w:proofErr w:type="spellEnd"/>
      <w:r w:rsidRPr="3DB4A857">
        <w:rPr>
          <w:rFonts w:ascii="Calibri" w:eastAsia="Calibri" w:hAnsi="Calibri" w:cs="Calibri"/>
          <w:color w:val="000000" w:themeColor="text1"/>
        </w:rPr>
        <w:t xml:space="preserve">, que sirve como prueba de extremo a extremo de que el </w:t>
      </w:r>
      <w:proofErr w:type="spellStart"/>
      <w:r w:rsidRPr="3DB4A857">
        <w:rPr>
          <w:rFonts w:ascii="Calibri" w:eastAsia="Calibri" w:hAnsi="Calibri" w:cs="Calibri"/>
          <w:color w:val="000000" w:themeColor="text1"/>
        </w:rPr>
        <w:t>stack</w:t>
      </w:r>
      <w:proofErr w:type="spellEnd"/>
      <w:r w:rsidRPr="3DB4A857">
        <w:rPr>
          <w:rFonts w:ascii="Calibri" w:eastAsia="Calibri" w:hAnsi="Calibri" w:cs="Calibri"/>
          <w:color w:val="000000" w:themeColor="text1"/>
        </w:rPr>
        <w:t xml:space="preserve"> funciona antes de comprometer tiempo en datos o entrenamiento.</w:t>
      </w:r>
    </w:p>
    <w:p w14:paraId="4487ABDD"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Construir el corpus paralelo es la segunda fase y la más laboriosa de las preparatorias. Se aplica un pipeline de segmentación, detección de idioma por bloque, alineación canónica o heurística según la fuente, normalización ortográfica y partición en conjuntos de entrenamiento, validación y prueba. Las cinco fuentes primarias del Inga descritas en los capítulos 2 y 4 entran en este pipeline, cada una con peculiaridades de formato que obligan a </w:t>
      </w:r>
      <w:proofErr w:type="spellStart"/>
      <w:r w:rsidRPr="3DB4A857">
        <w:rPr>
          <w:rFonts w:ascii="Calibri" w:eastAsia="Calibri" w:hAnsi="Calibri" w:cs="Calibri"/>
          <w:color w:val="000000" w:themeColor="text1"/>
        </w:rPr>
        <w:t>parsers</w:t>
      </w:r>
      <w:proofErr w:type="spellEnd"/>
      <w:r w:rsidRPr="3DB4A857">
        <w:rPr>
          <w:rFonts w:ascii="Calibri" w:eastAsia="Calibri" w:hAnsi="Calibri" w:cs="Calibri"/>
          <w:color w:val="000000" w:themeColor="text1"/>
        </w:rPr>
        <w:t xml:space="preserve"> específicos. El proceso completo se ilustra en la Figura 4.</w:t>
      </w:r>
    </w:p>
    <w:p w14:paraId="23D9255D" w14:textId="77777777" w:rsidR="00C43711" w:rsidRDefault="00226D26" w:rsidP="00C43711">
      <w:pPr>
        <w:pStyle w:val="Figuras"/>
        <w:keepNext/>
      </w:pPr>
      <w:r>
        <w:rPr>
          <w:noProof/>
        </w:rPr>
        <w:lastRenderedPageBreak/>
        <w:drawing>
          <wp:inline distT="0" distB="0" distL="0" distR="0" wp14:anchorId="7288B553" wp14:editId="01A1193B">
            <wp:extent cx="5400000" cy="1315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ipeline_corpus.png"/>
                    <pic:cNvPicPr/>
                  </pic:nvPicPr>
                  <pic:blipFill>
                    <a:blip r:embed="rId15"/>
                    <a:stretch>
                      <a:fillRect/>
                    </a:stretch>
                  </pic:blipFill>
                  <pic:spPr>
                    <a:xfrm>
                      <a:off x="0" y="0"/>
                      <a:ext cx="5400000" cy="1315966"/>
                    </a:xfrm>
                    <a:prstGeom prst="rect">
                      <a:avLst/>
                    </a:prstGeom>
                  </pic:spPr>
                </pic:pic>
              </a:graphicData>
            </a:graphic>
          </wp:inline>
        </w:drawing>
      </w:r>
    </w:p>
    <w:p w14:paraId="5C7B1FB9" w14:textId="11D7FC7F" w:rsidR="007052CF" w:rsidRDefault="00C43711" w:rsidP="00C43711">
      <w:pPr>
        <w:pStyle w:val="Caption"/>
        <w:jc w:val="center"/>
      </w:pPr>
      <w:bookmarkStart w:id="63" w:name="_Toc230952997"/>
      <w:bookmarkStart w:id="64" w:name="_Toc230961086"/>
      <w:bookmarkStart w:id="65" w:name="_Toc233199111"/>
      <w:r>
        <w:t xml:space="preserve">Figura </w:t>
      </w:r>
      <w:fldSimple w:instr=" SEQ Ilustración \* ARABIC ">
        <w:r w:rsidR="0059770D">
          <w:rPr>
            <w:noProof/>
          </w:rPr>
          <w:t>4</w:t>
        </w:r>
      </w:fldSimple>
      <w:r>
        <w:t xml:space="preserve"> </w:t>
      </w:r>
      <w:r w:rsidRPr="000D051E">
        <w:t>Pipeline de construcción del corpus paralelo Inga-</w:t>
      </w:r>
      <w:proofErr w:type="gramStart"/>
      <w:r w:rsidRPr="000D051E">
        <w:t>Español</w:t>
      </w:r>
      <w:bookmarkEnd w:id="63"/>
      <w:bookmarkEnd w:id="64"/>
      <w:bookmarkEnd w:id="65"/>
      <w:proofErr w:type="gramEnd"/>
    </w:p>
    <w:p w14:paraId="7A7CEC39"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257F35C1" w14:textId="77777777" w:rsidR="00636E09" w:rsidRDefault="7F1874F3"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Tras el corpus se diseña la base de conocimiento para la línea experimental basada en recuperación aumentada. Tres índices independientes: uno léxico derivado del diccionario, uno gramatical derivado de la gramática pedagógica y del apéndice morfosintáctico, y uno de ejemplos paralelos derivado del corpus alineado. La indexación combina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 xml:space="preserve"> multilingües densos y una base de datos vectorial local. Las estrategias de control de contexto (top-k acotado, umbrales de similitud, presupuestos de tokens, </w:t>
      </w:r>
      <w:proofErr w:type="spellStart"/>
      <w:r w:rsidRPr="3DB4A857">
        <w:rPr>
          <w:rFonts w:ascii="Calibri" w:eastAsia="Calibri" w:hAnsi="Calibri" w:cs="Calibri"/>
          <w:i/>
          <w:iCs/>
          <w:color w:val="000000" w:themeColor="text1"/>
        </w:rPr>
        <w:t>reranking</w:t>
      </w:r>
      <w:proofErr w:type="spellEnd"/>
      <w:r w:rsidRPr="3DB4A857">
        <w:rPr>
          <w:rFonts w:ascii="Calibri" w:eastAsia="Calibri" w:hAnsi="Calibri" w:cs="Calibri"/>
          <w:color w:val="000000" w:themeColor="text1"/>
        </w:rPr>
        <w:t xml:space="preserve"> opcional con </w:t>
      </w:r>
      <w:proofErr w:type="spellStart"/>
      <w:r w:rsidRPr="3DB4A857">
        <w:rPr>
          <w:rFonts w:ascii="Calibri" w:eastAsia="Calibri" w:hAnsi="Calibri" w:cs="Calibri"/>
          <w:i/>
          <w:iCs/>
          <w:color w:val="000000" w:themeColor="text1"/>
        </w:rPr>
        <w:t>cross-encoder</w:t>
      </w:r>
      <w:proofErr w:type="spellEnd"/>
      <w:r w:rsidRPr="3DB4A857">
        <w:rPr>
          <w:rFonts w:ascii="Calibri" w:eastAsia="Calibri" w:hAnsi="Calibri" w:cs="Calibri"/>
          <w:color w:val="000000" w:themeColor="text1"/>
        </w:rPr>
        <w:t xml:space="preserve">) se ajustan para mantener el </w:t>
      </w:r>
      <w:proofErr w:type="spellStart"/>
      <w:r w:rsidRPr="3DB4A857">
        <w:rPr>
          <w:rFonts w:ascii="Calibri" w:eastAsia="Calibri" w:hAnsi="Calibri" w:cs="Calibri"/>
          <w:i/>
          <w:iCs/>
          <w:color w:val="000000" w:themeColor="text1"/>
        </w:rPr>
        <w:t>prompt</w:t>
      </w:r>
      <w:proofErr w:type="spellEnd"/>
      <w:r w:rsidRPr="3DB4A857">
        <w:rPr>
          <w:rFonts w:ascii="Calibri" w:eastAsia="Calibri" w:hAnsi="Calibri" w:cs="Calibri"/>
          <w:color w:val="000000" w:themeColor="text1"/>
        </w:rPr>
        <w:t xml:space="preserve"> del modelo generativo dentro de límites manejables.</w:t>
      </w:r>
    </w:p>
    <w:p w14:paraId="1C3DE7EF" w14:textId="77777777" w:rsidR="00C43711" w:rsidRPr="007052CF" w:rsidRDefault="7F1874F3">
      <w:pPr>
        <w:rPr>
          <w:rFonts w:ascii="Calibri" w:eastAsia="Calibri" w:hAnsi="Calibri" w:cs="Calibri"/>
          <w:color w:val="000000" w:themeColor="text1"/>
        </w:rPr>
      </w:pPr>
      <w:r w:rsidRPr="3DB4A857">
        <w:rPr>
          <w:rFonts w:ascii="Calibri" w:eastAsia="Calibri" w:hAnsi="Calibri" w:cs="Calibri"/>
          <w:color w:val="000000" w:themeColor="text1"/>
        </w:rPr>
        <w:t>La cuarta fase aborda el ajuste fino eficiente en parámetros del modelo base. Se aprovecha el código de lengua Quechua Ayacucho (</w:t>
      </w:r>
      <w:proofErr w:type="spellStart"/>
      <w:r w:rsidRPr="3DB4A857">
        <w:rPr>
          <w:rFonts w:ascii="Consolas" w:eastAsia="Consolas" w:hAnsi="Consolas" w:cs="Consolas"/>
          <w:color w:val="000000" w:themeColor="text1"/>
        </w:rPr>
        <w:t>quy_Latn</w:t>
      </w:r>
      <w:proofErr w:type="spellEnd"/>
      <w:r w:rsidRPr="3DB4A857">
        <w:rPr>
          <w:rFonts w:ascii="Calibri" w:eastAsia="Calibri" w:hAnsi="Calibri" w:cs="Calibri"/>
          <w:color w:val="000000" w:themeColor="text1"/>
        </w:rPr>
        <w:t xml:space="preserve">) que el modelo ya contempla como punto de partida para la transferencia al Inga, lo cual reduce drásticamente la cantidad de datos paralelos necesarios respecto a entrenar desde cero. Cuando el calendario lo permite, se incluyen experimentos de </w:t>
      </w:r>
      <w:proofErr w:type="spellStart"/>
      <w:r w:rsidRPr="3DB4A857">
        <w:rPr>
          <w:rFonts w:ascii="Calibri" w:eastAsia="Calibri" w:hAnsi="Calibri" w:cs="Calibri"/>
          <w:i/>
          <w:iCs/>
          <w:color w:val="000000" w:themeColor="text1"/>
        </w:rPr>
        <w:t>ablation</w:t>
      </w:r>
      <w:proofErr w:type="spellEnd"/>
      <w:r w:rsidRPr="3DB4A857">
        <w:rPr>
          <w:rFonts w:ascii="Calibri" w:eastAsia="Calibri" w:hAnsi="Calibri" w:cs="Calibri"/>
          <w:color w:val="000000" w:themeColor="text1"/>
        </w:rPr>
        <w:t xml:space="preserve"> sobre dimensionalidad de los adaptadores, tasa de aprendizaje y augmentación sintética por </w:t>
      </w:r>
      <w:r w:rsidRPr="3DB4A857">
        <w:rPr>
          <w:rFonts w:ascii="Calibri" w:eastAsia="Calibri" w:hAnsi="Calibri" w:cs="Calibri"/>
          <w:i/>
          <w:iCs/>
          <w:color w:val="000000" w:themeColor="text1"/>
        </w:rPr>
        <w:t>back-</w:t>
      </w:r>
      <w:proofErr w:type="spellStart"/>
      <w:r w:rsidRPr="3DB4A857">
        <w:rPr>
          <w:rFonts w:ascii="Calibri" w:eastAsia="Calibri" w:hAnsi="Calibri" w:cs="Calibri"/>
          <w:i/>
          <w:iCs/>
          <w:color w:val="000000" w:themeColor="text1"/>
        </w:rPr>
        <w:t>translation</w:t>
      </w:r>
      <w:proofErr w:type="spellEnd"/>
      <w:r w:rsidRPr="3DB4A857">
        <w:rPr>
          <w:rFonts w:ascii="Calibri" w:eastAsia="Calibri" w:hAnsi="Calibri" w:cs="Calibri"/>
          <w:color w:val="000000" w:themeColor="text1"/>
        </w:rPr>
        <w:t>. La Figura 5 muestra el pipeline.</w:t>
      </w:r>
    </w:p>
    <w:p w14:paraId="0DF785DB" w14:textId="77777777" w:rsidR="00C43711" w:rsidRDefault="00226D26" w:rsidP="00C43711">
      <w:pPr>
        <w:pStyle w:val="Figuras"/>
        <w:keepNext/>
      </w:pPr>
      <w:r>
        <w:rPr>
          <w:noProof/>
        </w:rPr>
        <w:drawing>
          <wp:inline distT="0" distB="0" distL="0" distR="0" wp14:anchorId="1C51AB73" wp14:editId="042B2B68">
            <wp:extent cx="5400000" cy="1315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ipeline_finetuning.png"/>
                    <pic:cNvPicPr/>
                  </pic:nvPicPr>
                  <pic:blipFill>
                    <a:blip r:embed="rId16"/>
                    <a:stretch>
                      <a:fillRect/>
                    </a:stretch>
                  </pic:blipFill>
                  <pic:spPr>
                    <a:xfrm>
                      <a:off x="0" y="0"/>
                      <a:ext cx="5400000" cy="1315966"/>
                    </a:xfrm>
                    <a:prstGeom prst="rect">
                      <a:avLst/>
                    </a:prstGeom>
                  </pic:spPr>
                </pic:pic>
              </a:graphicData>
            </a:graphic>
          </wp:inline>
        </w:drawing>
      </w:r>
    </w:p>
    <w:p w14:paraId="6BD6E7B7" w14:textId="2A9EB725" w:rsidR="00C43711" w:rsidRDefault="00C43711" w:rsidP="00C43711">
      <w:pPr>
        <w:pStyle w:val="Caption"/>
        <w:jc w:val="center"/>
      </w:pPr>
      <w:bookmarkStart w:id="66" w:name="_Toc230952998"/>
      <w:bookmarkStart w:id="67" w:name="_Toc230961087"/>
      <w:bookmarkStart w:id="68" w:name="_Toc233199112"/>
      <w:r>
        <w:t xml:space="preserve">Figura </w:t>
      </w:r>
      <w:fldSimple w:instr=" SEQ Ilustración \* ARABIC ">
        <w:r w:rsidR="0059770D">
          <w:rPr>
            <w:noProof/>
          </w:rPr>
          <w:t>5</w:t>
        </w:r>
      </w:fldSimple>
      <w:r>
        <w:t xml:space="preserve"> </w:t>
      </w:r>
      <w:r w:rsidRPr="00B36A37">
        <w:t>Pipeline de ajuste fino eficiente del modelo de traducción multilingüe</w:t>
      </w:r>
      <w:bookmarkEnd w:id="66"/>
      <w:bookmarkEnd w:id="67"/>
      <w:bookmarkEnd w:id="68"/>
    </w:p>
    <w:p w14:paraId="2E844A6C" w14:textId="77777777" w:rsidR="00636E09" w:rsidRDefault="00636E09" w:rsidP="00C43711">
      <w:pPr>
        <w:pStyle w:val="Caption"/>
        <w:jc w:val="center"/>
      </w:pPr>
    </w:p>
    <w:p w14:paraId="2427DD24" w14:textId="77777777" w:rsidR="00636E09" w:rsidRPr="00A616E4" w:rsidRDefault="049C66FE">
      <w:pPr>
        <w:pStyle w:val="Piedefoto-tabla"/>
        <w:jc w:val="both"/>
        <w:rPr>
          <w:lang w:val="es-CO"/>
        </w:rPr>
      </w:pPr>
      <w:r w:rsidRPr="3DB4A857">
        <w:rPr>
          <w:i/>
          <w:lang w:val="es-CO"/>
        </w:rPr>
        <w:lastRenderedPageBreak/>
        <w:t xml:space="preserve">Nota. </w:t>
      </w:r>
      <w:r w:rsidRPr="3DB4A857">
        <w:rPr>
          <w:lang w:val="es-CO"/>
        </w:rPr>
        <w:t>Elaboración propia.</w:t>
      </w:r>
    </w:p>
    <w:p w14:paraId="285B61A1" w14:textId="77777777" w:rsidR="0FE09703" w:rsidRDefault="0FE09703"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En paralelo con la cuarta fase corre la quinta, que implementa la línea LLM más RAG. Un modelo de lenguaje de frontera recibe un </w:t>
      </w:r>
      <w:proofErr w:type="spellStart"/>
      <w:r w:rsidRPr="3DB4A857">
        <w:rPr>
          <w:rFonts w:ascii="Calibri" w:eastAsia="Calibri" w:hAnsi="Calibri" w:cs="Calibri"/>
          <w:i/>
          <w:iCs/>
          <w:color w:val="000000" w:themeColor="text1"/>
        </w:rPr>
        <w:t>prompt</w:t>
      </w:r>
      <w:proofErr w:type="spellEnd"/>
      <w:r w:rsidRPr="3DB4A857">
        <w:rPr>
          <w:rFonts w:ascii="Calibri" w:eastAsia="Calibri" w:hAnsi="Calibri" w:cs="Calibri"/>
          <w:color w:val="000000" w:themeColor="text1"/>
        </w:rPr>
        <w:t xml:space="preserve"> construido en tiempo de inferencia con el contexto recuperado de los tres índices. El detalle del pipeline aparece en la Figura 6.</w:t>
      </w:r>
    </w:p>
    <w:p w14:paraId="54BD3621" w14:textId="77777777" w:rsidR="00C43711" w:rsidRDefault="00226D26" w:rsidP="00C43711">
      <w:pPr>
        <w:pStyle w:val="Figuras"/>
        <w:keepNext/>
      </w:pPr>
      <w:r>
        <w:rPr>
          <w:noProof/>
        </w:rPr>
        <w:drawing>
          <wp:inline distT="0" distB="0" distL="0" distR="0" wp14:anchorId="072CDE7C" wp14:editId="5F5FDE86">
            <wp:extent cx="5400000" cy="1315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ipeline_rag.png"/>
                    <pic:cNvPicPr/>
                  </pic:nvPicPr>
                  <pic:blipFill>
                    <a:blip r:embed="rId17"/>
                    <a:stretch>
                      <a:fillRect/>
                    </a:stretch>
                  </pic:blipFill>
                  <pic:spPr>
                    <a:xfrm>
                      <a:off x="0" y="0"/>
                      <a:ext cx="5400000" cy="1315966"/>
                    </a:xfrm>
                    <a:prstGeom prst="rect">
                      <a:avLst/>
                    </a:prstGeom>
                  </pic:spPr>
                </pic:pic>
              </a:graphicData>
            </a:graphic>
          </wp:inline>
        </w:drawing>
      </w:r>
    </w:p>
    <w:p w14:paraId="17836394" w14:textId="0615A507" w:rsidR="00636E09" w:rsidRDefault="00C43711" w:rsidP="00A1331B">
      <w:pPr>
        <w:pStyle w:val="Caption"/>
        <w:jc w:val="center"/>
      </w:pPr>
      <w:bookmarkStart w:id="69" w:name="_Toc230952999"/>
      <w:bookmarkStart w:id="70" w:name="_Toc230961088"/>
      <w:bookmarkStart w:id="71" w:name="_Toc233199113"/>
      <w:r>
        <w:t xml:space="preserve">Figura </w:t>
      </w:r>
      <w:fldSimple w:instr=" SEQ Ilustración \* ARABIC ">
        <w:r w:rsidR="0059770D">
          <w:rPr>
            <w:noProof/>
          </w:rPr>
          <w:t>6</w:t>
        </w:r>
      </w:fldSimple>
      <w:r>
        <w:t xml:space="preserve"> </w:t>
      </w:r>
      <w:r w:rsidRPr="00A87378">
        <w:t>Pipeline de traducción basado en modelo de lenguaje de frontera con recuperación aumentada</w:t>
      </w:r>
      <w:bookmarkEnd w:id="69"/>
      <w:bookmarkEnd w:id="70"/>
      <w:bookmarkEnd w:id="71"/>
    </w:p>
    <w:p w14:paraId="268FED13"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7A86B03D" w14:textId="77777777" w:rsidR="4B846A25" w:rsidRDefault="4B846A25"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sexta fase es la evaluación comparativa. Cada una de las configuraciones definidas en la Tabla 4 se mide con BLEU,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sobre el conjunto de validación, complementadas con sesiones de validación humana con hablantes nativos. Los resultados se sintetizan en el Capítulo 4; el análisis cualitativo profundo y la validación humana extendida se reservan para la entrega final del TFM.</w:t>
      </w:r>
    </w:p>
    <w:p w14:paraId="2FE5FD42" w14:textId="5A040F80" w:rsidR="3DB4A857" w:rsidRPr="00A1331B" w:rsidRDefault="4B846A25">
      <w:pPr>
        <w:rPr>
          <w:rFonts w:ascii="Calibri" w:eastAsia="Calibri" w:hAnsi="Calibri" w:cs="Calibri"/>
          <w:color w:val="000000" w:themeColor="text1"/>
        </w:rPr>
      </w:pPr>
      <w:r w:rsidRPr="3DB4A857">
        <w:rPr>
          <w:rFonts w:ascii="Calibri" w:eastAsia="Calibri" w:hAnsi="Calibri" w:cs="Calibri"/>
          <w:color w:val="000000" w:themeColor="text1"/>
        </w:rPr>
        <w:t>Cierra el cronograma la séptima fase, dedicada a empaquetar el sistema como aplicación local replicable y a documentar el marco metodológico como aporte reutilizable.</w:t>
      </w:r>
    </w:p>
    <w:p w14:paraId="25318BC5" w14:textId="77777777" w:rsidR="00636E09" w:rsidRDefault="049C66FE">
      <w:pPr>
        <w:pStyle w:val="Heading3"/>
        <w:rPr>
          <w:b w:val="0"/>
          <w:bCs w:val="0"/>
        </w:rPr>
      </w:pPr>
      <w:bookmarkStart w:id="72" w:name="_Toc230950268"/>
      <w:bookmarkStart w:id="73" w:name="_Toc233199081"/>
      <w:r>
        <w:rPr>
          <w:b w:val="0"/>
          <w:bCs w:val="0"/>
        </w:rPr>
        <w:t>Cronograma</w:t>
      </w:r>
      <w:bookmarkEnd w:id="72"/>
      <w:bookmarkEnd w:id="73"/>
    </w:p>
    <w:p w14:paraId="78CBC048" w14:textId="77777777" w:rsidR="00636E09" w:rsidRDefault="00226D26">
      <w:r>
        <w:t>El cronograma global del proyecto se muestra en la Figura 8. Las fases presentan traslape planificado cuando las dependencias lo permiten: en particular, la construcción del corpus (Fase 2) se inicia en paralelo con la configuración del entorno y se prolonga durante varios meses, alimentando tanto al ajuste fino (Fase 4) como al sistema RAG (Fases 3 y 5) a medida que avanza.</w:t>
      </w:r>
    </w:p>
    <w:p w14:paraId="3B9C8171" w14:textId="77777777" w:rsidR="00C43711" w:rsidRDefault="00226D26" w:rsidP="00C43711">
      <w:pPr>
        <w:pStyle w:val="Figuras"/>
        <w:keepNext/>
      </w:pPr>
      <w:r>
        <w:rPr>
          <w:noProof/>
        </w:rPr>
        <w:lastRenderedPageBreak/>
        <w:drawing>
          <wp:inline distT="0" distB="0" distL="0" distR="0" wp14:anchorId="7BE8A7F6" wp14:editId="27807278">
            <wp:extent cx="5400000" cy="2217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ronograma_gantt.png"/>
                    <pic:cNvPicPr/>
                  </pic:nvPicPr>
                  <pic:blipFill>
                    <a:blip r:embed="rId18"/>
                    <a:stretch>
                      <a:fillRect/>
                    </a:stretch>
                  </pic:blipFill>
                  <pic:spPr>
                    <a:xfrm>
                      <a:off x="0" y="0"/>
                      <a:ext cx="5400000" cy="2217479"/>
                    </a:xfrm>
                    <a:prstGeom prst="rect">
                      <a:avLst/>
                    </a:prstGeom>
                  </pic:spPr>
                </pic:pic>
              </a:graphicData>
            </a:graphic>
          </wp:inline>
        </w:drawing>
      </w:r>
    </w:p>
    <w:p w14:paraId="79CBE21E" w14:textId="2480B02C" w:rsidR="00636E09" w:rsidRDefault="00C43711" w:rsidP="00A1331B">
      <w:pPr>
        <w:pStyle w:val="Caption"/>
        <w:jc w:val="center"/>
      </w:pPr>
      <w:bookmarkStart w:id="74" w:name="_Toc230953000"/>
      <w:bookmarkStart w:id="75" w:name="_Toc230961089"/>
      <w:bookmarkStart w:id="76" w:name="_Toc233199114"/>
      <w:r>
        <w:t xml:space="preserve">Figura </w:t>
      </w:r>
      <w:fldSimple w:instr=" SEQ Ilustración \* ARABIC ">
        <w:r w:rsidR="0059770D">
          <w:rPr>
            <w:noProof/>
          </w:rPr>
          <w:t>7</w:t>
        </w:r>
      </w:fldSimple>
      <w:r>
        <w:t xml:space="preserve"> </w:t>
      </w:r>
      <w:r w:rsidRPr="0011155D">
        <w:t>Cronograma del proyecto, distribuido por fases y fechas</w:t>
      </w:r>
      <w:bookmarkEnd w:id="74"/>
      <w:bookmarkEnd w:id="75"/>
      <w:bookmarkEnd w:id="76"/>
    </w:p>
    <w:p w14:paraId="1DAE8745" w14:textId="77777777" w:rsidR="00636E09" w:rsidRDefault="00226D26">
      <w:pPr>
        <w:pStyle w:val="Piedefoto-tabla"/>
        <w:jc w:val="both"/>
      </w:pPr>
      <w:r>
        <w:rPr>
          <w:i/>
        </w:rPr>
        <w:t xml:space="preserve">Nota. </w:t>
      </w:r>
      <w:proofErr w:type="spellStart"/>
      <w:r>
        <w:t>Elaboración</w:t>
      </w:r>
      <w:proofErr w:type="spellEnd"/>
      <w:r>
        <w:t xml:space="preserve"> </w:t>
      </w:r>
      <w:proofErr w:type="spellStart"/>
      <w:r>
        <w:t>propia</w:t>
      </w:r>
      <w:proofErr w:type="spellEnd"/>
      <w:r>
        <w:t>.</w:t>
      </w:r>
    </w:p>
    <w:p w14:paraId="4B882AF9" w14:textId="77777777" w:rsidR="00636E09" w:rsidRDefault="049C66FE">
      <w:pPr>
        <w:pStyle w:val="Heading3"/>
        <w:rPr>
          <w:b w:val="0"/>
          <w:bCs w:val="0"/>
        </w:rPr>
      </w:pPr>
      <w:bookmarkStart w:id="77" w:name="_Toc230950269"/>
      <w:bookmarkStart w:id="78" w:name="_Toc233199082"/>
      <w:r>
        <w:rPr>
          <w:b w:val="0"/>
          <w:bCs w:val="0"/>
        </w:rPr>
        <w:t>Infraestructura de cómputo</w:t>
      </w:r>
      <w:bookmarkEnd w:id="77"/>
      <w:bookmarkEnd w:id="78"/>
    </w:p>
    <w:p w14:paraId="157CD94F" w14:textId="4111CA30" w:rsidR="00C43711" w:rsidRDefault="00226D26" w:rsidP="00A1331B">
      <w:r>
        <w:t xml:space="preserve">La infraestructura de cómputo empleada se detalla en la Tabla 5. La decisión de operar sobre hardware local de alta capacidad, en lugar de plataformas </w:t>
      </w:r>
      <w:proofErr w:type="spellStart"/>
      <w:r>
        <w:t>cloud</w:t>
      </w:r>
      <w:proofErr w:type="spellEnd"/>
      <w:r>
        <w:t>, se fundamenta en tres consideraciones: reproducibilidad del entorno, soberanía de los datos lingüísticos de la comunidad Inga y predictibilidad del costo del proyecto. La API del modelo de lenguaje de frontera se utiliza únicamente para la línea experimental correspondiente.</w:t>
      </w:r>
    </w:p>
    <w:p w14:paraId="71A96DB5" w14:textId="0D325F6E" w:rsidR="00C43711" w:rsidRDefault="00C43711" w:rsidP="00C43711">
      <w:pPr>
        <w:pStyle w:val="Caption"/>
        <w:keepNext/>
      </w:pPr>
      <w:bookmarkStart w:id="79" w:name="_Toc230952644"/>
      <w:bookmarkStart w:id="80" w:name="_Toc233199121"/>
      <w:r>
        <w:t xml:space="preserve">Tabla </w:t>
      </w:r>
      <w:fldSimple w:instr=" SEQ Tabla \* ARABIC ">
        <w:r w:rsidR="0059770D">
          <w:rPr>
            <w:noProof/>
          </w:rPr>
          <w:t>3</w:t>
        </w:r>
      </w:fldSimple>
      <w:r>
        <w:t xml:space="preserve"> </w:t>
      </w:r>
      <w:r w:rsidRPr="008317FA">
        <w:t xml:space="preserve"> Infraestructura de cómputo del proyecto</w:t>
      </w:r>
      <w:bookmarkEnd w:id="79"/>
      <w:bookmarkEnd w:id="80"/>
    </w:p>
    <w:tbl>
      <w:tblPr>
        <w:tblStyle w:val="GridTable4-Accent1"/>
        <w:tblW w:w="0" w:type="auto"/>
        <w:tblLook w:val="04A0" w:firstRow="1" w:lastRow="0" w:firstColumn="1" w:lastColumn="0" w:noHBand="0" w:noVBand="1"/>
      </w:tblPr>
      <w:tblGrid>
        <w:gridCol w:w="2405"/>
        <w:gridCol w:w="2410"/>
        <w:gridCol w:w="4246"/>
      </w:tblGrid>
      <w:tr w:rsidR="00636E09" w14:paraId="4AE95305" w14:textId="77777777" w:rsidTr="0050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E2B9EF" w14:textId="77777777" w:rsidR="00636E09" w:rsidRDefault="00226D26">
            <w:r>
              <w:t>Recurso</w:t>
            </w:r>
          </w:p>
        </w:tc>
        <w:tc>
          <w:tcPr>
            <w:tcW w:w="2410" w:type="dxa"/>
          </w:tcPr>
          <w:p w14:paraId="1403BEFF" w14:textId="77777777" w:rsidR="00636E09" w:rsidRDefault="00226D26">
            <w:pPr>
              <w:cnfStyle w:val="100000000000" w:firstRow="1" w:lastRow="0" w:firstColumn="0" w:lastColumn="0" w:oddVBand="0" w:evenVBand="0" w:oddHBand="0" w:evenHBand="0" w:firstRowFirstColumn="0" w:firstRowLastColumn="0" w:lastRowFirstColumn="0" w:lastRowLastColumn="0"/>
            </w:pPr>
            <w:r>
              <w:t>Especificación</w:t>
            </w:r>
          </w:p>
        </w:tc>
        <w:tc>
          <w:tcPr>
            <w:tcW w:w="4246" w:type="dxa"/>
          </w:tcPr>
          <w:p w14:paraId="6EC306D0" w14:textId="77777777" w:rsidR="00636E09" w:rsidRDefault="00226D26">
            <w:pPr>
              <w:cnfStyle w:val="100000000000" w:firstRow="1" w:lastRow="0" w:firstColumn="0" w:lastColumn="0" w:oddVBand="0" w:evenVBand="0" w:oddHBand="0" w:evenHBand="0" w:firstRowFirstColumn="0" w:firstRowLastColumn="0" w:lastRowFirstColumn="0" w:lastRowLastColumn="0"/>
            </w:pPr>
            <w:r>
              <w:t>Uso principal</w:t>
            </w:r>
          </w:p>
        </w:tc>
      </w:tr>
      <w:tr w:rsidR="00636E09" w14:paraId="55350CC8"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422D196" w14:textId="77777777" w:rsidR="00636E09" w:rsidRDefault="00226D26">
            <w:r>
              <w:t>Estación de trabajo local</w:t>
            </w:r>
          </w:p>
        </w:tc>
        <w:tc>
          <w:tcPr>
            <w:tcW w:w="2410" w:type="dxa"/>
          </w:tcPr>
          <w:p w14:paraId="76CF6179"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 xml:space="preserve">Apple M4 Max, 128 GB RAM </w:t>
            </w:r>
            <w:proofErr w:type="spellStart"/>
            <w:r w:rsidRPr="00A616E4">
              <w:rPr>
                <w:lang w:val="en-US"/>
              </w:rPr>
              <w:t>unificada</w:t>
            </w:r>
            <w:proofErr w:type="spellEnd"/>
          </w:p>
        </w:tc>
        <w:tc>
          <w:tcPr>
            <w:tcW w:w="4246" w:type="dxa"/>
          </w:tcPr>
          <w:p w14:paraId="0CDB5413" w14:textId="77777777" w:rsidR="00636E09" w:rsidRDefault="00226D26">
            <w:pPr>
              <w:cnfStyle w:val="000000100000" w:firstRow="0" w:lastRow="0" w:firstColumn="0" w:lastColumn="0" w:oddVBand="0" w:evenVBand="0" w:oddHBand="1" w:evenHBand="0" w:firstRowFirstColumn="0" w:firstRowLastColumn="0" w:lastRowFirstColumn="0" w:lastRowLastColumn="0"/>
            </w:pPr>
            <w:r>
              <w:t>Inferencia y ajuste fino eficiente del modelo multilingüe; indexación y recuperación vectorial; ejecución de todos los notebooks del proyecto.</w:t>
            </w:r>
          </w:p>
        </w:tc>
      </w:tr>
      <w:tr w:rsidR="00636E09" w14:paraId="20B8330D" w14:textId="77777777" w:rsidTr="00507AE5">
        <w:tc>
          <w:tcPr>
            <w:cnfStyle w:val="001000000000" w:firstRow="0" w:lastRow="0" w:firstColumn="1" w:lastColumn="0" w:oddVBand="0" w:evenVBand="0" w:oddHBand="0" w:evenHBand="0" w:firstRowFirstColumn="0" w:firstRowLastColumn="0" w:lastRowFirstColumn="0" w:lastRowLastColumn="0"/>
            <w:tcW w:w="2405" w:type="dxa"/>
          </w:tcPr>
          <w:p w14:paraId="6F38311D" w14:textId="77777777" w:rsidR="00636E09" w:rsidRDefault="00226D26">
            <w:r>
              <w:t>API de modelo de lenguaje de frontera</w:t>
            </w:r>
          </w:p>
        </w:tc>
        <w:tc>
          <w:tcPr>
            <w:tcW w:w="2410" w:type="dxa"/>
          </w:tcPr>
          <w:p w14:paraId="59C12B48" w14:textId="77777777" w:rsidR="00636E09" w:rsidRDefault="00226D26">
            <w:pPr>
              <w:cnfStyle w:val="000000000000" w:firstRow="0" w:lastRow="0" w:firstColumn="0" w:lastColumn="0" w:oddVBand="0" w:evenVBand="0" w:oddHBand="0" w:evenHBand="0" w:firstRowFirstColumn="0" w:firstRowLastColumn="0" w:lastRowFirstColumn="0" w:lastRowLastColumn="0"/>
            </w:pPr>
            <w:proofErr w:type="spellStart"/>
            <w:r>
              <w:t>Anthropic</w:t>
            </w:r>
            <w:proofErr w:type="spellEnd"/>
            <w:r>
              <w:t xml:space="preserve"> (modelo vigente al cierre de</w:t>
            </w:r>
            <w:r w:rsidR="00ED122C">
              <w:t xml:space="preserve"> la investigación</w:t>
            </w:r>
            <w:r>
              <w:t>)</w:t>
            </w:r>
          </w:p>
        </w:tc>
        <w:tc>
          <w:tcPr>
            <w:tcW w:w="4246" w:type="dxa"/>
          </w:tcPr>
          <w:p w14:paraId="62A64BD6" w14:textId="77777777" w:rsidR="00636E09" w:rsidRDefault="00226D26">
            <w:pPr>
              <w:cnfStyle w:val="000000000000" w:firstRow="0" w:lastRow="0" w:firstColumn="0" w:lastColumn="0" w:oddVBand="0" w:evenVBand="0" w:oddHBand="0" w:evenHBand="0" w:firstRowFirstColumn="0" w:firstRowLastColumn="0" w:lastRowFirstColumn="0" w:lastRowLastColumn="0"/>
            </w:pPr>
            <w:r>
              <w:t>Pipeline de traducción con recuperación aumentada; línea experimental LLM.</w:t>
            </w:r>
          </w:p>
        </w:tc>
      </w:tr>
      <w:tr w:rsidR="00636E09" w14:paraId="71F01609"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8B3930" w14:textId="77777777" w:rsidR="00636E09" w:rsidRDefault="00226D26">
            <w:r>
              <w:lastRenderedPageBreak/>
              <w:t>Almacenamiento vectorial local</w:t>
            </w:r>
          </w:p>
        </w:tc>
        <w:tc>
          <w:tcPr>
            <w:tcW w:w="2410" w:type="dxa"/>
          </w:tcPr>
          <w:p w14:paraId="591DBA81" w14:textId="77777777" w:rsidR="00636E09" w:rsidRDefault="00226D26">
            <w:pPr>
              <w:cnfStyle w:val="000000100000" w:firstRow="0" w:lastRow="0" w:firstColumn="0" w:lastColumn="0" w:oddVBand="0" w:evenVBand="0" w:oddHBand="1" w:evenHBand="0" w:firstRowFirstColumn="0" w:firstRowLastColumn="0" w:lastRowFirstColumn="0" w:lastRowLastColumn="0"/>
            </w:pPr>
            <w:r>
              <w:t xml:space="preserve">FAISS o </w:t>
            </w:r>
            <w:proofErr w:type="spellStart"/>
            <w:r>
              <w:t>ChromaDB</w:t>
            </w:r>
            <w:proofErr w:type="spellEnd"/>
            <w:r>
              <w:t xml:space="preserve"> (decisión técnica en Fase 3)</w:t>
            </w:r>
          </w:p>
        </w:tc>
        <w:tc>
          <w:tcPr>
            <w:tcW w:w="4246" w:type="dxa"/>
          </w:tcPr>
          <w:p w14:paraId="6488DF6C" w14:textId="77777777" w:rsidR="00636E09" w:rsidRDefault="00226D26">
            <w:pPr>
              <w:cnfStyle w:val="000000100000" w:firstRow="0" w:lastRow="0" w:firstColumn="0" w:lastColumn="0" w:oddVBand="0" w:evenVBand="0" w:oddHBand="1" w:evenHBand="0" w:firstRowFirstColumn="0" w:firstRowLastColumn="0" w:lastRowFirstColumn="0" w:lastRowLastColumn="0"/>
            </w:pPr>
            <w:r>
              <w:t>Indexación de la base de conocimiento lingüístico del Inga.</w:t>
            </w:r>
          </w:p>
        </w:tc>
      </w:tr>
      <w:tr w:rsidR="00636E09" w14:paraId="6DE01D2D" w14:textId="77777777" w:rsidTr="00507AE5">
        <w:tc>
          <w:tcPr>
            <w:cnfStyle w:val="001000000000" w:firstRow="0" w:lastRow="0" w:firstColumn="1" w:lastColumn="0" w:oddVBand="0" w:evenVBand="0" w:oddHBand="0" w:evenHBand="0" w:firstRowFirstColumn="0" w:firstRowLastColumn="0" w:lastRowFirstColumn="0" w:lastRowLastColumn="0"/>
            <w:tcW w:w="2405" w:type="dxa"/>
          </w:tcPr>
          <w:p w14:paraId="228A5560" w14:textId="77777777" w:rsidR="00636E09" w:rsidRDefault="00226D26">
            <w:r>
              <w:t>Control de versiones</w:t>
            </w:r>
          </w:p>
        </w:tc>
        <w:tc>
          <w:tcPr>
            <w:tcW w:w="2410" w:type="dxa"/>
          </w:tcPr>
          <w:p w14:paraId="2FFA1254" w14:textId="77777777" w:rsidR="00636E09" w:rsidRDefault="00226D26">
            <w:pPr>
              <w:cnfStyle w:val="000000000000" w:firstRow="0" w:lastRow="0" w:firstColumn="0" w:lastColumn="0" w:oddVBand="0" w:evenVBand="0" w:oddHBand="0" w:evenHBand="0" w:firstRowFirstColumn="0" w:firstRowLastColumn="0" w:lastRowFirstColumn="0" w:lastRowLastColumn="0"/>
            </w:pPr>
            <w:r>
              <w:t>Git y GitHub</w:t>
            </w:r>
          </w:p>
        </w:tc>
        <w:tc>
          <w:tcPr>
            <w:tcW w:w="4246" w:type="dxa"/>
          </w:tcPr>
          <w:p w14:paraId="279DDAD0" w14:textId="77777777" w:rsidR="00636E09" w:rsidRDefault="00226D26">
            <w:pPr>
              <w:cnfStyle w:val="000000000000" w:firstRow="0" w:lastRow="0" w:firstColumn="0" w:lastColumn="0" w:oddVBand="0" w:evenVBand="0" w:oddHBand="0" w:evenHBand="0" w:firstRowFirstColumn="0" w:firstRowLastColumn="0" w:lastRowFirstColumn="0" w:lastRowLastColumn="0"/>
            </w:pPr>
            <w:r>
              <w:t>Código fuente, notebooks, documentación del proyecto.</w:t>
            </w:r>
          </w:p>
        </w:tc>
      </w:tr>
    </w:tbl>
    <w:p w14:paraId="49CC295B" w14:textId="77777777" w:rsidR="00636E09" w:rsidRDefault="00226D26">
      <w:pPr>
        <w:pStyle w:val="Piedefoto-tabla"/>
        <w:jc w:val="both"/>
      </w:pPr>
      <w:r>
        <w:rPr>
          <w:i/>
        </w:rPr>
        <w:t xml:space="preserve">Nota. </w:t>
      </w:r>
      <w:proofErr w:type="spellStart"/>
      <w:r>
        <w:t>Elaboración</w:t>
      </w:r>
      <w:proofErr w:type="spellEnd"/>
      <w:r>
        <w:t xml:space="preserve"> </w:t>
      </w:r>
      <w:proofErr w:type="spellStart"/>
      <w:r>
        <w:t>propia</w:t>
      </w:r>
      <w:proofErr w:type="spellEnd"/>
      <w:r>
        <w:t>.</w:t>
      </w:r>
    </w:p>
    <w:p w14:paraId="385B5203" w14:textId="77777777" w:rsidR="00636E09" w:rsidRDefault="049C66FE">
      <w:pPr>
        <w:pStyle w:val="Heading3"/>
        <w:rPr>
          <w:b w:val="0"/>
          <w:bCs w:val="0"/>
        </w:rPr>
      </w:pPr>
      <w:bookmarkStart w:id="81" w:name="_Toc230950270"/>
      <w:bookmarkStart w:id="82" w:name="_Toc233199083"/>
      <w:proofErr w:type="gramStart"/>
      <w:r>
        <w:rPr>
          <w:b w:val="0"/>
          <w:bCs w:val="0"/>
        </w:rPr>
        <w:t>Configuraciones experimentales a evaluar</w:t>
      </w:r>
      <w:bookmarkEnd w:id="81"/>
      <w:bookmarkEnd w:id="82"/>
      <w:proofErr w:type="gramEnd"/>
    </w:p>
    <w:p w14:paraId="226621A5" w14:textId="77777777" w:rsidR="00636E09" w:rsidRDefault="00226D26" w:rsidP="00507AE5">
      <w:r>
        <w:t xml:space="preserve">La Fase 6 evalúa al menos cinco configuraciones experimentales, cuyo diseño se resume en la Tabla 4. Las configuraciones permiten aislar el efecto de cada técnica central (ajuste fino, recuperación aumentada, su combinación) y comparar líneas de base </w:t>
      </w:r>
      <w:proofErr w:type="spellStart"/>
      <w:r>
        <w:t>zero-shot</w:t>
      </w:r>
      <w:proofErr w:type="spellEnd"/>
      <w:r>
        <w:t xml:space="preserve"> con las aproximaciones adaptadas específicamente al Inga.</w:t>
      </w:r>
    </w:p>
    <w:p w14:paraId="432587A4" w14:textId="4ED2EA8E" w:rsidR="00C43711" w:rsidRDefault="00C43711" w:rsidP="00C43711">
      <w:pPr>
        <w:pStyle w:val="Caption"/>
        <w:keepNext/>
      </w:pPr>
      <w:bookmarkStart w:id="83" w:name="_Toc230952645"/>
      <w:bookmarkStart w:id="84" w:name="_Toc233199122"/>
      <w:r>
        <w:t xml:space="preserve">Tabla </w:t>
      </w:r>
      <w:fldSimple w:instr=" SEQ Tabla \* ARABIC ">
        <w:r w:rsidR="0059770D">
          <w:rPr>
            <w:noProof/>
          </w:rPr>
          <w:t>4</w:t>
        </w:r>
      </w:fldSimple>
      <w:r>
        <w:t xml:space="preserve"> </w:t>
      </w:r>
      <w:r w:rsidRPr="007720CB">
        <w:t xml:space="preserve"> Configuraciones experimentales a evaluar en la Fase 6 del proyecto</w:t>
      </w:r>
      <w:bookmarkEnd w:id="83"/>
      <w:bookmarkEnd w:id="84"/>
    </w:p>
    <w:tbl>
      <w:tblPr>
        <w:tblStyle w:val="GridTable4-Accent1"/>
        <w:tblW w:w="0" w:type="auto"/>
        <w:tblLook w:val="04A0" w:firstRow="1" w:lastRow="0" w:firstColumn="1" w:lastColumn="0" w:noHBand="0" w:noVBand="1"/>
      </w:tblPr>
      <w:tblGrid>
        <w:gridCol w:w="1129"/>
        <w:gridCol w:w="2410"/>
        <w:gridCol w:w="3256"/>
        <w:gridCol w:w="2266"/>
      </w:tblGrid>
      <w:tr w:rsidR="00636E09" w14:paraId="4CA9FB93" w14:textId="77777777" w:rsidTr="0050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D16A1C" w14:textId="77777777" w:rsidR="00636E09" w:rsidRDefault="00226D26">
            <w:proofErr w:type="spellStart"/>
            <w:r>
              <w:t>Config</w:t>
            </w:r>
            <w:proofErr w:type="spellEnd"/>
            <w:r>
              <w:t>.</w:t>
            </w:r>
          </w:p>
        </w:tc>
        <w:tc>
          <w:tcPr>
            <w:tcW w:w="2410" w:type="dxa"/>
          </w:tcPr>
          <w:p w14:paraId="29E06B3F" w14:textId="77777777" w:rsidR="00636E09" w:rsidRDefault="00226D26">
            <w:pPr>
              <w:cnfStyle w:val="100000000000" w:firstRow="1" w:lastRow="0" w:firstColumn="0" w:lastColumn="0" w:oddVBand="0" w:evenVBand="0" w:oddHBand="0" w:evenHBand="0" w:firstRowFirstColumn="0" w:firstRowLastColumn="0" w:lastRowFirstColumn="0" w:lastRowLastColumn="0"/>
            </w:pPr>
            <w:r>
              <w:t>Modelo</w:t>
            </w:r>
          </w:p>
        </w:tc>
        <w:tc>
          <w:tcPr>
            <w:tcW w:w="3256" w:type="dxa"/>
          </w:tcPr>
          <w:p w14:paraId="217F16C5" w14:textId="77777777" w:rsidR="00636E09" w:rsidRDefault="00226D26">
            <w:pPr>
              <w:cnfStyle w:val="100000000000" w:firstRow="1" w:lastRow="0" w:firstColumn="0" w:lastColumn="0" w:oddVBand="0" w:evenVBand="0" w:oddHBand="0" w:evenHBand="0" w:firstRowFirstColumn="0" w:firstRowLastColumn="0" w:lastRowFirstColumn="0" w:lastRowLastColumn="0"/>
            </w:pPr>
            <w:r>
              <w:t>Técnica</w:t>
            </w:r>
          </w:p>
        </w:tc>
        <w:tc>
          <w:tcPr>
            <w:tcW w:w="2266" w:type="dxa"/>
          </w:tcPr>
          <w:p w14:paraId="239956F7" w14:textId="77777777" w:rsidR="00636E09" w:rsidRDefault="00226D26">
            <w:pPr>
              <w:cnfStyle w:val="100000000000" w:firstRow="1" w:lastRow="0" w:firstColumn="0" w:lastColumn="0" w:oddVBand="0" w:evenVBand="0" w:oddHBand="0" w:evenHBand="0" w:firstRowFirstColumn="0" w:firstRowLastColumn="0" w:lastRowFirstColumn="0" w:lastRowLastColumn="0"/>
            </w:pPr>
            <w:r>
              <w:t>Recursos utilizados</w:t>
            </w:r>
          </w:p>
        </w:tc>
      </w:tr>
      <w:tr w:rsidR="00636E09" w14:paraId="4FC11A1E"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2518EF" w14:textId="77777777" w:rsidR="00636E09" w:rsidRDefault="00226D26">
            <w:r>
              <w:t>A</w:t>
            </w:r>
          </w:p>
        </w:tc>
        <w:tc>
          <w:tcPr>
            <w:tcW w:w="2410" w:type="dxa"/>
          </w:tcPr>
          <w:p w14:paraId="1A3A5D32"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multilingüe base (p. ej., NLLB-200-3.3B)</w:t>
            </w:r>
          </w:p>
        </w:tc>
        <w:tc>
          <w:tcPr>
            <w:tcW w:w="3256" w:type="dxa"/>
          </w:tcPr>
          <w:p w14:paraId="4C160EDF" w14:textId="77777777" w:rsidR="00636E09" w:rsidRDefault="00226D26">
            <w:pPr>
              <w:cnfStyle w:val="000000100000" w:firstRow="0" w:lastRow="0" w:firstColumn="0" w:lastColumn="0" w:oddVBand="0" w:evenVBand="0" w:oddHBand="1" w:evenHBand="0" w:firstRowFirstColumn="0" w:firstRowLastColumn="0" w:lastRowFirstColumn="0" w:lastRowLastColumn="0"/>
            </w:pPr>
            <w:r>
              <w:t xml:space="preserve">Traducción </w:t>
            </w:r>
            <w:proofErr w:type="spellStart"/>
            <w:r>
              <w:t>zero-shot</w:t>
            </w:r>
            <w:proofErr w:type="spellEnd"/>
            <w:r>
              <w:t xml:space="preserve"> con código de lengua más cercano (</w:t>
            </w:r>
            <w:proofErr w:type="spellStart"/>
            <w:r>
              <w:t>quy_Latn</w:t>
            </w:r>
            <w:proofErr w:type="spellEnd"/>
            <w:r>
              <w:t>)</w:t>
            </w:r>
          </w:p>
        </w:tc>
        <w:tc>
          <w:tcPr>
            <w:tcW w:w="2266" w:type="dxa"/>
          </w:tcPr>
          <w:p w14:paraId="05455456" w14:textId="77777777" w:rsidR="00636E09" w:rsidRDefault="00226D26">
            <w:pPr>
              <w:cnfStyle w:val="000000100000" w:firstRow="0" w:lastRow="0" w:firstColumn="0" w:lastColumn="0" w:oddVBand="0" w:evenVBand="0" w:oddHBand="1" w:evenHBand="0" w:firstRowFirstColumn="0" w:firstRowLastColumn="0" w:lastRowFirstColumn="0" w:lastRowLastColumn="0"/>
            </w:pPr>
            <w:r>
              <w:t>N/A</w:t>
            </w:r>
          </w:p>
        </w:tc>
      </w:tr>
      <w:tr w:rsidR="00636E09" w14:paraId="209EBA19" w14:textId="77777777" w:rsidTr="00507AE5">
        <w:tc>
          <w:tcPr>
            <w:cnfStyle w:val="001000000000" w:firstRow="0" w:lastRow="0" w:firstColumn="1" w:lastColumn="0" w:oddVBand="0" w:evenVBand="0" w:oddHBand="0" w:evenHBand="0" w:firstRowFirstColumn="0" w:firstRowLastColumn="0" w:lastRowFirstColumn="0" w:lastRowLastColumn="0"/>
            <w:tcW w:w="1129" w:type="dxa"/>
          </w:tcPr>
          <w:p w14:paraId="3E13D78D" w14:textId="77777777" w:rsidR="00636E09" w:rsidRDefault="00226D26">
            <w:r>
              <w:t>B</w:t>
            </w:r>
          </w:p>
        </w:tc>
        <w:tc>
          <w:tcPr>
            <w:tcW w:w="2410" w:type="dxa"/>
          </w:tcPr>
          <w:p w14:paraId="1A411038" w14:textId="77777777" w:rsidR="00636E09" w:rsidRDefault="00226D26">
            <w:pPr>
              <w:cnfStyle w:val="000000000000" w:firstRow="0" w:lastRow="0" w:firstColumn="0" w:lastColumn="0" w:oddVBand="0" w:evenVBand="0" w:oddHBand="0" w:evenHBand="0" w:firstRowFirstColumn="0" w:firstRowLastColumn="0" w:lastRowFirstColumn="0" w:lastRowLastColumn="0"/>
            </w:pPr>
            <w:r>
              <w:t>Modelo multilingüe base</w:t>
            </w:r>
          </w:p>
        </w:tc>
        <w:tc>
          <w:tcPr>
            <w:tcW w:w="3256" w:type="dxa"/>
          </w:tcPr>
          <w:p w14:paraId="4D17FF92" w14:textId="77777777" w:rsidR="00636E09" w:rsidRDefault="00226D26">
            <w:pPr>
              <w:cnfStyle w:val="000000000000" w:firstRow="0" w:lastRow="0" w:firstColumn="0" w:lastColumn="0" w:oddVBand="0" w:evenVBand="0" w:oddHBand="0" w:evenHBand="0" w:firstRowFirstColumn="0" w:firstRowLastColumn="0" w:lastRowFirstColumn="0" w:lastRowLastColumn="0"/>
            </w:pPr>
            <w:r>
              <w:t>Ajuste fino eficiente (</w:t>
            </w:r>
            <w:proofErr w:type="spellStart"/>
            <w:r>
              <w:t>LoRA</w:t>
            </w:r>
            <w:proofErr w:type="spellEnd"/>
            <w:r>
              <w:t xml:space="preserve">) sobre corpus Inga </w:t>
            </w:r>
            <w:proofErr w:type="spellStart"/>
            <w:r>
              <w:t>bidialectal</w:t>
            </w:r>
            <w:proofErr w:type="spellEnd"/>
          </w:p>
        </w:tc>
        <w:tc>
          <w:tcPr>
            <w:tcW w:w="2266" w:type="dxa"/>
          </w:tcPr>
          <w:p w14:paraId="2CB46BF7" w14:textId="77777777" w:rsidR="00636E09" w:rsidRDefault="00226D26">
            <w:pPr>
              <w:cnfStyle w:val="000000000000" w:firstRow="0" w:lastRow="0" w:firstColumn="0" w:lastColumn="0" w:oddVBand="0" w:evenVBand="0" w:oddHBand="0" w:evenHBand="0" w:firstRowFirstColumn="0" w:firstRowLastColumn="0" w:lastRowFirstColumn="0" w:lastRowLastColumn="0"/>
            </w:pPr>
            <w:r>
              <w:t>Corpus paralelo AP + MP</w:t>
            </w:r>
          </w:p>
        </w:tc>
      </w:tr>
      <w:tr w:rsidR="00636E09" w14:paraId="0ADC0021"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5622FC" w14:textId="77777777" w:rsidR="00636E09" w:rsidRDefault="00226D26">
            <w:r>
              <w:t>C</w:t>
            </w:r>
          </w:p>
        </w:tc>
        <w:tc>
          <w:tcPr>
            <w:tcW w:w="2410" w:type="dxa"/>
          </w:tcPr>
          <w:p w14:paraId="7788BF1D"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de lenguaje de frontera</w:t>
            </w:r>
          </w:p>
        </w:tc>
        <w:tc>
          <w:tcPr>
            <w:tcW w:w="3256" w:type="dxa"/>
          </w:tcPr>
          <w:p w14:paraId="5418A3C2" w14:textId="77777777" w:rsidR="00636E09" w:rsidRDefault="00226D26">
            <w:pPr>
              <w:cnfStyle w:val="000000100000" w:firstRow="0" w:lastRow="0" w:firstColumn="0" w:lastColumn="0" w:oddVBand="0" w:evenVBand="0" w:oddHBand="1" w:evenHBand="0" w:firstRowFirstColumn="0" w:firstRowLastColumn="0" w:lastRowFirstColumn="0" w:lastRowLastColumn="0"/>
            </w:pPr>
            <w:proofErr w:type="spellStart"/>
            <w:r>
              <w:t>Prompt</w:t>
            </w:r>
            <w:proofErr w:type="spellEnd"/>
            <w:r>
              <w:t xml:space="preserve"> </w:t>
            </w:r>
            <w:proofErr w:type="spellStart"/>
            <w:r>
              <w:t>zero-shot</w:t>
            </w:r>
            <w:proofErr w:type="spellEnd"/>
          </w:p>
        </w:tc>
        <w:tc>
          <w:tcPr>
            <w:tcW w:w="2266" w:type="dxa"/>
          </w:tcPr>
          <w:p w14:paraId="504F3CCA" w14:textId="77777777" w:rsidR="00636E09" w:rsidRDefault="00226D26">
            <w:pPr>
              <w:cnfStyle w:val="000000100000" w:firstRow="0" w:lastRow="0" w:firstColumn="0" w:lastColumn="0" w:oddVBand="0" w:evenVBand="0" w:oddHBand="1" w:evenHBand="0" w:firstRowFirstColumn="0" w:firstRowLastColumn="0" w:lastRowFirstColumn="0" w:lastRowLastColumn="0"/>
            </w:pPr>
            <w:r>
              <w:t>N/A</w:t>
            </w:r>
          </w:p>
        </w:tc>
      </w:tr>
      <w:tr w:rsidR="00636E09" w14:paraId="2CE37FAD" w14:textId="77777777" w:rsidTr="00507AE5">
        <w:tc>
          <w:tcPr>
            <w:cnfStyle w:val="001000000000" w:firstRow="0" w:lastRow="0" w:firstColumn="1" w:lastColumn="0" w:oddVBand="0" w:evenVBand="0" w:oddHBand="0" w:evenHBand="0" w:firstRowFirstColumn="0" w:firstRowLastColumn="0" w:lastRowFirstColumn="0" w:lastRowLastColumn="0"/>
            <w:tcW w:w="1129" w:type="dxa"/>
          </w:tcPr>
          <w:p w14:paraId="34FDB74C" w14:textId="77777777" w:rsidR="00636E09" w:rsidRDefault="00226D26">
            <w:r>
              <w:t>D</w:t>
            </w:r>
          </w:p>
        </w:tc>
        <w:tc>
          <w:tcPr>
            <w:tcW w:w="2410" w:type="dxa"/>
          </w:tcPr>
          <w:p w14:paraId="046DB920" w14:textId="77777777" w:rsidR="00636E09" w:rsidRDefault="00226D26">
            <w:pPr>
              <w:cnfStyle w:val="000000000000" w:firstRow="0" w:lastRow="0" w:firstColumn="0" w:lastColumn="0" w:oddVBand="0" w:evenVBand="0" w:oddHBand="0" w:evenHBand="0" w:firstRowFirstColumn="0" w:firstRowLastColumn="0" w:lastRowFirstColumn="0" w:lastRowLastColumn="0"/>
            </w:pPr>
            <w:r>
              <w:t>Modelo de lenguaje de frontera</w:t>
            </w:r>
          </w:p>
        </w:tc>
        <w:tc>
          <w:tcPr>
            <w:tcW w:w="3256" w:type="dxa"/>
          </w:tcPr>
          <w:p w14:paraId="0063C44A" w14:textId="77777777" w:rsidR="00636E09" w:rsidRDefault="00226D26">
            <w:pPr>
              <w:cnfStyle w:val="000000000000" w:firstRow="0" w:lastRow="0" w:firstColumn="0" w:lastColumn="0" w:oddVBand="0" w:evenVBand="0" w:oddHBand="0" w:evenHBand="0" w:firstRowFirstColumn="0" w:firstRowLastColumn="0" w:lastRowFirstColumn="0" w:lastRowLastColumn="0"/>
            </w:pPr>
            <w:r>
              <w:t>Recuperación aumentada multi-índice (léxico, gramatical, ejemplos)</w:t>
            </w:r>
          </w:p>
        </w:tc>
        <w:tc>
          <w:tcPr>
            <w:tcW w:w="2266" w:type="dxa"/>
          </w:tcPr>
          <w:p w14:paraId="0E6DFF30" w14:textId="77777777" w:rsidR="00636E09" w:rsidRDefault="00226D26">
            <w:pPr>
              <w:cnfStyle w:val="000000000000" w:firstRow="0" w:lastRow="0" w:firstColumn="0" w:lastColumn="0" w:oddVBand="0" w:evenVBand="0" w:oddHBand="0" w:evenHBand="0" w:firstRowFirstColumn="0" w:firstRowLastColumn="0" w:lastRowFirstColumn="0" w:lastRowLastColumn="0"/>
            </w:pPr>
            <w:r>
              <w:t>Base de conocimiento del Inga</w:t>
            </w:r>
          </w:p>
        </w:tc>
      </w:tr>
      <w:tr w:rsidR="00636E09" w14:paraId="0AB845FD"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EA5CA46" w14:textId="77777777" w:rsidR="00636E09" w:rsidRDefault="00226D26">
            <w:r>
              <w:lastRenderedPageBreak/>
              <w:t>E</w:t>
            </w:r>
          </w:p>
        </w:tc>
        <w:tc>
          <w:tcPr>
            <w:tcW w:w="2410" w:type="dxa"/>
          </w:tcPr>
          <w:p w14:paraId="294DB4DA"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multilingüe ajustado (</w:t>
            </w:r>
            <w:proofErr w:type="spellStart"/>
            <w:r>
              <w:t>config</w:t>
            </w:r>
            <w:proofErr w:type="spellEnd"/>
            <w:r>
              <w:t>. B)</w:t>
            </w:r>
          </w:p>
        </w:tc>
        <w:tc>
          <w:tcPr>
            <w:tcW w:w="3256" w:type="dxa"/>
          </w:tcPr>
          <w:p w14:paraId="251FC55F" w14:textId="77777777" w:rsidR="00636E09" w:rsidRDefault="00226D26">
            <w:pPr>
              <w:cnfStyle w:val="000000100000" w:firstRow="0" w:lastRow="0" w:firstColumn="0" w:lastColumn="0" w:oddVBand="0" w:evenVBand="0" w:oddHBand="1" w:evenHBand="0" w:firstRowFirstColumn="0" w:firstRowLastColumn="0" w:lastRowFirstColumn="0" w:lastRowLastColumn="0"/>
            </w:pPr>
            <w:r>
              <w:t>Recuperación aumentada aplicada en inferencia</w:t>
            </w:r>
          </w:p>
        </w:tc>
        <w:tc>
          <w:tcPr>
            <w:tcW w:w="2266" w:type="dxa"/>
          </w:tcPr>
          <w:p w14:paraId="4EE38D80" w14:textId="77777777" w:rsidR="00636E09" w:rsidRDefault="00226D26">
            <w:pPr>
              <w:cnfStyle w:val="000000100000" w:firstRow="0" w:lastRow="0" w:firstColumn="0" w:lastColumn="0" w:oddVBand="0" w:evenVBand="0" w:oddHBand="1" w:evenHBand="0" w:firstRowFirstColumn="0" w:firstRowLastColumn="0" w:lastRowFirstColumn="0" w:lastRowLastColumn="0"/>
            </w:pPr>
            <w:r>
              <w:t>Corpus + base de conocimiento</w:t>
            </w:r>
          </w:p>
        </w:tc>
      </w:tr>
    </w:tbl>
    <w:p w14:paraId="5A61B042" w14:textId="77777777" w:rsidR="00636E09" w:rsidRDefault="3DB4A857" w:rsidP="3DB4A857">
      <w:pPr>
        <w:pStyle w:val="Heading3"/>
        <w:numPr>
          <w:ilvl w:val="0"/>
          <w:numId w:val="0"/>
        </w:numPr>
        <w:rPr>
          <w:rFonts w:ascii="Calibri Light" w:eastAsia="Calibri Light" w:hAnsi="Calibri Light" w:cs="Calibri Light"/>
          <w:b w:val="0"/>
          <w:bCs w:val="0"/>
          <w:caps/>
          <w:color w:val="0098CD"/>
          <w:sz w:val="36"/>
          <w:szCs w:val="36"/>
          <w:lang w:val="en-US"/>
        </w:rPr>
      </w:pPr>
      <w:bookmarkStart w:id="85" w:name="_Toc230950271"/>
      <w:bookmarkStart w:id="86" w:name="_Toc233199084"/>
      <w:r w:rsidRPr="3DB4A857">
        <w:rPr>
          <w:rFonts w:ascii="Calibri Light" w:eastAsia="Calibri Light" w:hAnsi="Calibri Light" w:cs="Calibri Light"/>
          <w:b w:val="0"/>
          <w:bCs w:val="0"/>
          <w:caps/>
          <w:color w:val="0098CD"/>
          <w:sz w:val="36"/>
          <w:szCs w:val="36"/>
        </w:rPr>
        <w:t xml:space="preserve">4. </w:t>
      </w:r>
      <w:r w:rsidR="384FA2C3" w:rsidRPr="3DB4A857">
        <w:rPr>
          <w:rFonts w:ascii="Calibri Light" w:eastAsia="Calibri Light" w:hAnsi="Calibri Light" w:cs="Calibri Light"/>
          <w:b w:val="0"/>
          <w:bCs w:val="0"/>
          <w:caps/>
          <w:color w:val="0098CD"/>
          <w:sz w:val="36"/>
          <w:szCs w:val="36"/>
        </w:rPr>
        <w:t>Desarrollo específico de la contribución</w:t>
      </w:r>
      <w:bookmarkEnd w:id="85"/>
      <w:bookmarkEnd w:id="86"/>
    </w:p>
    <w:p w14:paraId="70B3BA67"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Este capítulo documenta la implementación de las Fases 1 a 6 del proyecto, desde la configuración del entorno experimental hasta la evaluación comparativa de las cinco configuraciones definidas en la Tabla 4. Cada sección reporta tanto la decisión metodológica adoptada como la evidencia cuantitativa y cualitativa de su ejecución.</w:t>
      </w:r>
    </w:p>
    <w:p w14:paraId="3A02E6DF"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87" w:name="_Toc230950272"/>
      <w:bookmarkStart w:id="88" w:name="_Toc233199085"/>
      <w:r w:rsidRPr="3DB4A857">
        <w:rPr>
          <w:rFonts w:ascii="Calibri Light" w:eastAsia="Calibri Light" w:hAnsi="Calibri Light" w:cs="Calibri Light"/>
          <w:bCs w:val="0"/>
          <w:iCs w:val="0"/>
        </w:rPr>
        <w:t>4.1 Configuración del entorno computacional</w:t>
      </w:r>
      <w:bookmarkEnd w:id="87"/>
      <w:bookmarkEnd w:id="88"/>
    </w:p>
    <w:p w14:paraId="1C5FD09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Sobre la estación local Apple M4 Max (128 GB de memoria unificada, macOS Darwin 25.3.0) se montó el entorno experimental con Python 3.11 gestionado mediante </w:t>
      </w:r>
      <w:proofErr w:type="spellStart"/>
      <w:r w:rsidRPr="00A1331B">
        <w:rPr>
          <w:rFonts w:ascii="Consolas" w:eastAsia="Consolas" w:hAnsi="Consolas" w:cs="Consolas"/>
          <w:color w:val="000000" w:themeColor="text1"/>
        </w:rPr>
        <w:t>uv</w:t>
      </w:r>
      <w:proofErr w:type="spellEnd"/>
      <w:r w:rsidRPr="00A1331B">
        <w:rPr>
          <w:rFonts w:ascii="Calibri" w:eastAsia="Calibri" w:hAnsi="Calibri" w:cs="Calibri"/>
          <w:color w:val="000000" w:themeColor="text1"/>
        </w:rPr>
        <w:t xml:space="preserve">. El proyecto se reorganizó como paquete reproducible con </w:t>
      </w:r>
      <w:proofErr w:type="spellStart"/>
      <w:proofErr w:type="gramStart"/>
      <w:r w:rsidRPr="00A1331B">
        <w:rPr>
          <w:rFonts w:ascii="Consolas" w:eastAsia="Consolas" w:hAnsi="Consolas" w:cs="Consolas"/>
          <w:color w:val="000000" w:themeColor="text1"/>
        </w:rPr>
        <w:t>pyproject.toml</w:t>
      </w:r>
      <w:proofErr w:type="spellEnd"/>
      <w:proofErr w:type="gram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lockfile</w:t>
      </w:r>
      <w:proofErr w:type="spellEnd"/>
      <w:r w:rsidRPr="00A1331B">
        <w:rPr>
          <w:rFonts w:ascii="Calibri" w:eastAsia="Calibri" w:hAnsi="Calibri" w:cs="Calibri"/>
          <w:color w:val="000000" w:themeColor="text1"/>
        </w:rPr>
        <w:t xml:space="preserve"> (</w:t>
      </w:r>
      <w:proofErr w:type="spellStart"/>
      <w:proofErr w:type="gramStart"/>
      <w:r w:rsidRPr="00A1331B">
        <w:rPr>
          <w:rFonts w:ascii="Consolas" w:eastAsia="Consolas" w:hAnsi="Consolas" w:cs="Consolas"/>
          <w:color w:val="000000" w:themeColor="text1"/>
        </w:rPr>
        <w:t>uv.lock</w:t>
      </w:r>
      <w:proofErr w:type="spellEnd"/>
      <w:proofErr w:type="gramEnd"/>
      <w:r w:rsidRPr="00A1331B">
        <w:rPr>
          <w:rFonts w:ascii="Calibri" w:eastAsia="Calibri" w:hAnsi="Calibri" w:cs="Calibri"/>
          <w:color w:val="000000" w:themeColor="text1"/>
        </w:rPr>
        <w:t xml:space="preserve">) y archivo de variables de entorno separado </w:t>
      </w:r>
      <w:proofErr w:type="gramStart"/>
      <w:r w:rsidRPr="00A1331B">
        <w:rPr>
          <w:rFonts w:ascii="Calibri" w:eastAsia="Calibri" w:hAnsi="Calibri" w:cs="Calibri"/>
          <w:color w:val="000000" w:themeColor="text1"/>
        </w:rPr>
        <w:t>(</w:t>
      </w:r>
      <w:r w:rsidRPr="00A1331B">
        <w:rPr>
          <w:rFonts w:ascii="Consolas" w:eastAsia="Consolas" w:hAnsi="Consolas" w:cs="Consolas"/>
          <w:color w:val="000000" w:themeColor="text1"/>
        </w:rPr>
        <w:t>.</w:t>
      </w:r>
      <w:proofErr w:type="spellStart"/>
      <w:r w:rsidRPr="00A1331B">
        <w:rPr>
          <w:rFonts w:ascii="Consolas" w:eastAsia="Consolas" w:hAnsi="Consolas" w:cs="Consolas"/>
          <w:color w:val="000000" w:themeColor="text1"/>
        </w:rPr>
        <w:t>env</w:t>
      </w:r>
      <w:proofErr w:type="gramEnd"/>
      <w:r w:rsidRPr="00A1331B">
        <w:rPr>
          <w:rFonts w:ascii="Consolas" w:eastAsia="Consolas" w:hAnsi="Consolas" w:cs="Consolas"/>
          <w:color w:val="000000" w:themeColor="text1"/>
        </w:rPr>
        <w:t>.example</w:t>
      </w:r>
      <w:proofErr w:type="spellEnd"/>
      <w:r w:rsidRPr="00A1331B">
        <w:rPr>
          <w:rFonts w:ascii="Calibri" w:eastAsia="Calibri" w:hAnsi="Calibri" w:cs="Calibri"/>
          <w:color w:val="000000" w:themeColor="text1"/>
        </w:rPr>
        <w:t xml:space="preserve">) para las credenciales de </w:t>
      </w:r>
      <w:proofErr w:type="spellStart"/>
      <w:r w:rsidRPr="00A1331B">
        <w:rPr>
          <w:rFonts w:ascii="Calibri" w:eastAsia="Calibri" w:hAnsi="Calibri" w:cs="Calibri"/>
          <w:color w:val="000000" w:themeColor="text1"/>
        </w:rPr>
        <w:t>APIs</w:t>
      </w:r>
      <w:proofErr w:type="spellEnd"/>
      <w:r w:rsidRPr="00A1331B">
        <w:rPr>
          <w:rFonts w:ascii="Calibri" w:eastAsia="Calibri" w:hAnsi="Calibri" w:cs="Calibri"/>
          <w:color w:val="000000" w:themeColor="text1"/>
        </w:rPr>
        <w:t xml:space="preserve"> externas. Las librerías centrales utilizadas son </w:t>
      </w:r>
      <w:proofErr w:type="spellStart"/>
      <w:r w:rsidRPr="00A1331B">
        <w:rPr>
          <w:rFonts w:ascii="Calibri" w:eastAsia="Calibri" w:hAnsi="Calibri" w:cs="Calibri"/>
          <w:i/>
          <w:iCs/>
          <w:color w:val="000000" w:themeColor="text1"/>
        </w:rPr>
        <w:t>transformers</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i/>
          <w:iCs/>
          <w:color w:val="000000" w:themeColor="text1"/>
        </w:rPr>
        <w:t>peft</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i/>
          <w:iCs/>
          <w:color w:val="000000" w:themeColor="text1"/>
        </w:rPr>
        <w:t>accelerate</w:t>
      </w:r>
      <w:proofErr w:type="spellEnd"/>
      <w:r w:rsidRPr="00A1331B">
        <w:rPr>
          <w:rFonts w:ascii="Calibri" w:eastAsia="Calibri" w:hAnsi="Calibri" w:cs="Calibri"/>
          <w:color w:val="000000" w:themeColor="text1"/>
        </w:rPr>
        <w:t xml:space="preserve"> para el ajuste fino de modelos multilingües; </w:t>
      </w:r>
      <w:proofErr w:type="spellStart"/>
      <w:r w:rsidRPr="00A1331B">
        <w:rPr>
          <w:rFonts w:ascii="Calibri" w:eastAsia="Calibri" w:hAnsi="Calibri" w:cs="Calibri"/>
          <w:i/>
          <w:iCs/>
          <w:color w:val="000000" w:themeColor="text1"/>
        </w:rPr>
        <w:t>sentence-transformers</w:t>
      </w:r>
      <w:proofErr w:type="spellEnd"/>
      <w:r w:rsidRPr="00A1331B">
        <w:rPr>
          <w:rFonts w:ascii="Calibri" w:eastAsia="Calibri" w:hAnsi="Calibri" w:cs="Calibri"/>
          <w:color w:val="000000" w:themeColor="text1"/>
        </w:rPr>
        <w:t xml:space="preserve"> y la SDK oficial </w:t>
      </w:r>
      <w:proofErr w:type="spellStart"/>
      <w:r w:rsidRPr="00A1331B">
        <w:rPr>
          <w:rFonts w:ascii="Calibri" w:eastAsia="Calibri" w:hAnsi="Calibri" w:cs="Calibri"/>
          <w:i/>
          <w:iCs/>
          <w:color w:val="000000" w:themeColor="text1"/>
        </w:rPr>
        <w:t>google-genai</w:t>
      </w:r>
      <w:proofErr w:type="spellEnd"/>
      <w:r w:rsidRPr="00A1331B">
        <w:rPr>
          <w:rFonts w:ascii="Calibri" w:eastAsia="Calibri" w:hAnsi="Calibri" w:cs="Calibri"/>
          <w:color w:val="000000" w:themeColor="text1"/>
        </w:rPr>
        <w:t xml:space="preserve"> para los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densos; </w:t>
      </w:r>
      <w:proofErr w:type="spellStart"/>
      <w:r w:rsidRPr="00A1331B">
        <w:rPr>
          <w:rFonts w:ascii="Calibri" w:eastAsia="Calibri" w:hAnsi="Calibri" w:cs="Calibri"/>
          <w:i/>
          <w:iCs/>
          <w:color w:val="000000" w:themeColor="text1"/>
        </w:rPr>
        <w:t>anthropic</w:t>
      </w:r>
      <w:proofErr w:type="spellEnd"/>
      <w:r w:rsidRPr="00A1331B">
        <w:rPr>
          <w:rFonts w:ascii="Calibri" w:eastAsia="Calibri" w:hAnsi="Calibri" w:cs="Calibri"/>
          <w:color w:val="000000" w:themeColor="text1"/>
        </w:rPr>
        <w:t xml:space="preserve"> para el modelo de lenguaje de frontera; </w:t>
      </w:r>
      <w:proofErr w:type="spellStart"/>
      <w:r w:rsidRPr="00A1331B">
        <w:rPr>
          <w:rFonts w:ascii="Calibri" w:eastAsia="Calibri" w:hAnsi="Calibri" w:cs="Calibri"/>
          <w:i/>
          <w:iCs/>
          <w:color w:val="000000" w:themeColor="text1"/>
        </w:rPr>
        <w:t>lancedb</w:t>
      </w:r>
      <w:proofErr w:type="spellEnd"/>
      <w:r w:rsidRPr="00A1331B">
        <w:rPr>
          <w:rFonts w:ascii="Calibri" w:eastAsia="Calibri" w:hAnsi="Calibri" w:cs="Calibri"/>
          <w:color w:val="000000" w:themeColor="text1"/>
        </w:rPr>
        <w:t xml:space="preserve"> para el almacenamiento vectorial; y </w:t>
      </w:r>
      <w:proofErr w:type="spellStart"/>
      <w:r w:rsidRPr="00A1331B">
        <w:rPr>
          <w:rFonts w:ascii="Calibri" w:eastAsia="Calibri" w:hAnsi="Calibri" w:cs="Calibri"/>
          <w:i/>
          <w:iCs/>
          <w:color w:val="000000" w:themeColor="text1"/>
        </w:rPr>
        <w:t>sacrebleu</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i/>
          <w:iCs/>
          <w:color w:val="000000" w:themeColor="text1"/>
        </w:rPr>
        <w:t>bert</w:t>
      </w:r>
      <w:proofErr w:type="spellEnd"/>
      <w:r w:rsidRPr="00A1331B">
        <w:rPr>
          <w:rFonts w:ascii="Calibri" w:eastAsia="Calibri" w:hAnsi="Calibri" w:cs="Calibri"/>
          <w:i/>
          <w:iCs/>
          <w:color w:val="000000" w:themeColor="text1"/>
        </w:rPr>
        <w:t>-score</w:t>
      </w:r>
      <w:r w:rsidRPr="00A1331B">
        <w:rPr>
          <w:rFonts w:ascii="Calibri" w:eastAsia="Calibri" w:hAnsi="Calibri" w:cs="Calibri"/>
          <w:color w:val="000000" w:themeColor="text1"/>
        </w:rPr>
        <w:t xml:space="preserve"> para la evaluación automática. La aceleración por hardware Metal Performance </w:t>
      </w:r>
      <w:proofErr w:type="spellStart"/>
      <w:r w:rsidRPr="00A1331B">
        <w:rPr>
          <w:rFonts w:ascii="Calibri" w:eastAsia="Calibri" w:hAnsi="Calibri" w:cs="Calibri"/>
          <w:color w:val="000000" w:themeColor="text1"/>
        </w:rPr>
        <w:t>Shaders</w:t>
      </w:r>
      <w:proofErr w:type="spellEnd"/>
      <w:r w:rsidRPr="00A1331B">
        <w:rPr>
          <w:rFonts w:ascii="Calibri" w:eastAsia="Calibri" w:hAnsi="Calibri" w:cs="Calibri"/>
          <w:color w:val="000000" w:themeColor="text1"/>
        </w:rPr>
        <w:t xml:space="preserve"> (MPS) se validó en una inferencia </w:t>
      </w:r>
      <w:proofErr w:type="spellStart"/>
      <w:r w:rsidRPr="00A1331B">
        <w:rPr>
          <w:rFonts w:ascii="Calibri" w:eastAsia="Calibri" w:hAnsi="Calibri" w:cs="Calibri"/>
          <w:color w:val="000000" w:themeColor="text1"/>
        </w:rPr>
        <w:t>zero-shot</w:t>
      </w:r>
      <w:proofErr w:type="spellEnd"/>
      <w:r w:rsidRPr="00A1331B">
        <w:rPr>
          <w:rFonts w:ascii="Calibri" w:eastAsia="Calibri" w:hAnsi="Calibri" w:cs="Calibri"/>
          <w:color w:val="000000" w:themeColor="text1"/>
        </w:rPr>
        <w:t xml:space="preserve"> del modelo </w:t>
      </w:r>
      <w:proofErr w:type="spellStart"/>
      <w:r w:rsidRPr="00A1331B">
        <w:rPr>
          <w:rFonts w:ascii="Consolas" w:eastAsia="Consolas" w:hAnsi="Consolas" w:cs="Consolas"/>
          <w:color w:val="000000" w:themeColor="text1"/>
        </w:rPr>
        <w:t>facebook</w:t>
      </w:r>
      <w:proofErr w:type="spellEnd"/>
      <w:r w:rsidRPr="00A1331B">
        <w:rPr>
          <w:rFonts w:ascii="Consolas" w:eastAsia="Consolas" w:hAnsi="Consolas" w:cs="Consolas"/>
          <w:color w:val="000000" w:themeColor="text1"/>
        </w:rPr>
        <w:t>/nllb-200-distilled-600M</w:t>
      </w:r>
      <w:r w:rsidRPr="00A1331B">
        <w:rPr>
          <w:rFonts w:ascii="Calibri" w:eastAsia="Calibri" w:hAnsi="Calibri" w:cs="Calibri"/>
          <w:color w:val="000000" w:themeColor="text1"/>
        </w:rPr>
        <w:t xml:space="preserve"> sobre el par </w:t>
      </w:r>
      <w:proofErr w:type="gramStart"/>
      <w:r w:rsidRPr="00A1331B">
        <w:rPr>
          <w:rFonts w:ascii="Calibri" w:eastAsia="Calibri" w:hAnsi="Calibri" w:cs="Calibri"/>
          <w:color w:val="000000" w:themeColor="text1"/>
        </w:rPr>
        <w:t>Español</w:t>
      </w:r>
      <w:proofErr w:type="gramEnd"/>
      <w:r w:rsidRPr="00A1331B">
        <w:rPr>
          <w:rFonts w:ascii="Calibri" w:eastAsia="Calibri" w:hAnsi="Calibri" w:cs="Calibri"/>
          <w:color w:val="000000" w:themeColor="text1"/>
        </w:rPr>
        <w:t>-Quechua Ayacucho (</w:t>
      </w:r>
      <w:proofErr w:type="spellStart"/>
      <w:r w:rsidRPr="00A1331B">
        <w:rPr>
          <w:rFonts w:ascii="Consolas" w:eastAsia="Consolas" w:hAnsi="Consolas" w:cs="Consolas"/>
          <w:color w:val="000000" w:themeColor="text1"/>
        </w:rPr>
        <w:t>spa_Latn</w:t>
      </w:r>
      <w:proofErr w:type="spellEnd"/>
      <w:r w:rsidRPr="00A1331B">
        <w:rPr>
          <w:rFonts w:ascii="Calibri" w:eastAsia="Calibri" w:hAnsi="Calibri" w:cs="Calibri"/>
          <w:color w:val="000000" w:themeColor="text1"/>
        </w:rPr>
        <w:t xml:space="preserve"> a </w:t>
      </w:r>
      <w:proofErr w:type="spellStart"/>
      <w:r w:rsidRPr="00A1331B">
        <w:rPr>
          <w:rFonts w:ascii="Consolas" w:eastAsia="Consolas" w:hAnsi="Consolas" w:cs="Consolas"/>
          <w:color w:val="000000" w:themeColor="text1"/>
        </w:rPr>
        <w:t>quy_Latn</w:t>
      </w:r>
      <w:proofErr w:type="spellEnd"/>
      <w:r w:rsidRPr="00A1331B">
        <w:rPr>
          <w:rFonts w:ascii="Calibri" w:eastAsia="Calibri" w:hAnsi="Calibri" w:cs="Calibri"/>
          <w:color w:val="000000" w:themeColor="text1"/>
        </w:rPr>
        <w:t>), que constituye el criterio de cierre formal de esta fase. El detalle del entorno se preserva en el Notebook 00 del repositorio, referenciado en el Anexo A.</w:t>
      </w:r>
    </w:p>
    <w:p w14:paraId="22D28AC0"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89" w:name="_Toc230950273"/>
      <w:bookmarkStart w:id="90" w:name="_Toc233199086"/>
      <w:r w:rsidRPr="3DB4A857">
        <w:rPr>
          <w:rFonts w:ascii="Calibri Light" w:eastAsia="Calibri Light" w:hAnsi="Calibri Light" w:cs="Calibri Light"/>
          <w:bCs w:val="0"/>
          <w:iCs w:val="0"/>
        </w:rPr>
        <w:t>4.2 Construcción del corpus paralelo</w:t>
      </w:r>
      <w:bookmarkEnd w:id="89"/>
      <w:bookmarkEnd w:id="90"/>
    </w:p>
    <w:p w14:paraId="0221A352"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construcción del corpus paralelo Inga-</w:t>
      </w:r>
      <w:proofErr w:type="gramStart"/>
      <w:r w:rsidRPr="00A1331B">
        <w:rPr>
          <w:rFonts w:ascii="Calibri" w:eastAsia="Calibri" w:hAnsi="Calibri" w:cs="Calibri"/>
          <w:color w:val="000000" w:themeColor="text1"/>
        </w:rPr>
        <w:t>Español</w:t>
      </w:r>
      <w:proofErr w:type="gramEnd"/>
      <w:r w:rsidRPr="00A1331B">
        <w:rPr>
          <w:rFonts w:ascii="Calibri" w:eastAsia="Calibri" w:hAnsi="Calibri" w:cs="Calibri"/>
          <w:color w:val="000000" w:themeColor="text1"/>
        </w:rPr>
        <w:t xml:space="preserve"> se apoya en cinco fuentes primarias previamente extraídas a formato </w:t>
      </w:r>
      <w:proofErr w:type="spellStart"/>
      <w:r w:rsidRPr="00A1331B">
        <w:rPr>
          <w:rFonts w:ascii="Calibri" w:eastAsia="Calibri" w:hAnsi="Calibri" w:cs="Calibri"/>
          <w:color w:val="000000" w:themeColor="text1"/>
        </w:rPr>
        <w:t>Markdown</w:t>
      </w:r>
      <w:proofErr w:type="spellEnd"/>
      <w:r w:rsidRPr="00A1331B">
        <w:rPr>
          <w:rFonts w:ascii="Calibri" w:eastAsia="Calibri" w:hAnsi="Calibri" w:cs="Calibri"/>
          <w:color w:val="000000" w:themeColor="text1"/>
        </w:rPr>
        <w:t xml:space="preserve"> mediante reconocimiento óptico de caracteres. El inventario consolidado se muestra en la Tabla 5.</w:t>
      </w:r>
    </w:p>
    <w:p w14:paraId="5F8343C6" w14:textId="77777777" w:rsidR="00636E09" w:rsidRPr="0059770D" w:rsidRDefault="00636E09" w:rsidP="00C43711">
      <w:pPr>
        <w:pStyle w:val="Caption"/>
        <w:ind w:left="360"/>
        <w:jc w:val="left"/>
        <w:rPr>
          <w:rFonts w:ascii="Calibri" w:eastAsia="Calibri" w:hAnsi="Calibri" w:cs="Calibri"/>
          <w:color w:val="000000" w:themeColor="text1"/>
          <w:lang w:val="es-CO"/>
        </w:rPr>
      </w:pPr>
    </w:p>
    <w:p w14:paraId="49CBEB9B" w14:textId="77777777" w:rsidR="00636E09" w:rsidRPr="007052CF" w:rsidRDefault="00636E09" w:rsidP="00C43711">
      <w:pPr>
        <w:pStyle w:val="ListParagraph"/>
        <w:jc w:val="left"/>
        <w:rPr>
          <w:rFonts w:ascii="Calibri" w:eastAsia="Calibri" w:hAnsi="Calibri" w:cs="Calibri"/>
          <w:color w:val="000000" w:themeColor="text1"/>
          <w:lang w:val="es-CO"/>
        </w:rPr>
      </w:pPr>
    </w:p>
    <w:p w14:paraId="2F1A80A3" w14:textId="37CFB7DB" w:rsidR="00C43711" w:rsidRDefault="00C43711" w:rsidP="00C43711">
      <w:pPr>
        <w:pStyle w:val="Caption"/>
        <w:keepNext/>
      </w:pPr>
      <w:bookmarkStart w:id="91" w:name="_Toc230952646"/>
      <w:bookmarkStart w:id="92" w:name="_Toc233199123"/>
      <w:r>
        <w:t xml:space="preserve">Tabla </w:t>
      </w:r>
      <w:fldSimple w:instr=" SEQ Tabla \* ARABIC ">
        <w:r w:rsidR="0059770D">
          <w:rPr>
            <w:noProof/>
          </w:rPr>
          <w:t>5</w:t>
        </w:r>
      </w:fldSimple>
      <w:r>
        <w:t xml:space="preserve"> </w:t>
      </w:r>
      <w:r w:rsidRPr="009A3AB1">
        <w:t>Inventario de recursos lingüísticos primarios utilizados en la construcción del corpus</w:t>
      </w:r>
      <w:bookmarkEnd w:id="91"/>
      <w:bookmarkEnd w:id="92"/>
    </w:p>
    <w:tbl>
      <w:tblPr>
        <w:tblStyle w:val="GridTable4-Accent1"/>
        <w:tblW w:w="0" w:type="auto"/>
        <w:tblLook w:val="04A0" w:firstRow="1" w:lastRow="0" w:firstColumn="1" w:lastColumn="0" w:noHBand="0" w:noVBand="1"/>
      </w:tblPr>
      <w:tblGrid>
        <w:gridCol w:w="1788"/>
        <w:gridCol w:w="1697"/>
        <w:gridCol w:w="1301"/>
        <w:gridCol w:w="1363"/>
        <w:gridCol w:w="1400"/>
        <w:gridCol w:w="1512"/>
      </w:tblGrid>
      <w:tr w:rsidR="3DB4A857" w14:paraId="3EF05993"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26C5B333" w14:textId="77777777" w:rsidR="3DB4A857" w:rsidRDefault="3DB4A857" w:rsidP="3DB4A857">
            <w:pPr>
              <w:rPr>
                <w:rFonts w:ascii="Calibri" w:eastAsia="Calibri" w:hAnsi="Calibri" w:cs="Calibri"/>
              </w:rPr>
            </w:pPr>
            <w:r w:rsidRPr="3DB4A857">
              <w:rPr>
                <w:rFonts w:ascii="Calibri" w:eastAsia="Calibri" w:hAnsi="Calibri" w:cs="Calibri"/>
              </w:rPr>
              <w:t>Recurso</w:t>
            </w:r>
          </w:p>
        </w:tc>
        <w:tc>
          <w:tcPr>
            <w:tcW w:w="1500" w:type="dxa"/>
          </w:tcPr>
          <w:p w14:paraId="09787808"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Dialecto</w:t>
            </w:r>
          </w:p>
        </w:tc>
        <w:tc>
          <w:tcPr>
            <w:tcW w:w="1500" w:type="dxa"/>
          </w:tcPr>
          <w:p w14:paraId="6DA18FD6"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Páginas</w:t>
            </w:r>
          </w:p>
        </w:tc>
        <w:tc>
          <w:tcPr>
            <w:tcW w:w="1500" w:type="dxa"/>
          </w:tcPr>
          <w:p w14:paraId="6A180923"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Registro</w:t>
            </w:r>
          </w:p>
        </w:tc>
        <w:tc>
          <w:tcPr>
            <w:tcW w:w="1500" w:type="dxa"/>
          </w:tcPr>
          <w:p w14:paraId="3723826B"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Tipo de alineación</w:t>
            </w:r>
          </w:p>
        </w:tc>
        <w:tc>
          <w:tcPr>
            <w:tcW w:w="1500" w:type="dxa"/>
          </w:tcPr>
          <w:p w14:paraId="684F22A1"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Unidades detectadas</w:t>
            </w:r>
          </w:p>
        </w:tc>
      </w:tr>
      <w:tr w:rsidR="3DB4A857" w14:paraId="51F64CEA"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25A92323" w14:textId="77777777" w:rsidR="3DB4A857" w:rsidRDefault="3DB4A857" w:rsidP="3DB4A857">
            <w:pPr>
              <w:rPr>
                <w:rFonts w:ascii="Calibri" w:eastAsia="Calibri" w:hAnsi="Calibri" w:cs="Calibri"/>
              </w:rPr>
            </w:pPr>
            <w:r>
              <w:rPr>
                <w:rFonts w:ascii="Calibri" w:eastAsia="Calibri" w:hAnsi="Calibri" w:cs="Calibri"/>
                <w:i/>
              </w:rPr>
              <w:t>Diccionario Inga</w:t>
            </w:r>
            <w:r>
              <w:rPr>
                <w:rFonts w:ascii="Calibri" w:eastAsia="Calibri" w:hAnsi="Calibri" w:cs="Calibri"/>
              </w:rPr>
              <w:t xml:space="preserve"> (Tandioy Jansasoy et al., 1997)</w:t>
            </w:r>
          </w:p>
        </w:tc>
        <w:tc>
          <w:tcPr>
            <w:tcW w:w="1500" w:type="dxa"/>
          </w:tcPr>
          <w:p w14:paraId="64B5BB2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AP + MP (marcado)</w:t>
            </w:r>
          </w:p>
        </w:tc>
        <w:tc>
          <w:tcPr>
            <w:tcW w:w="1500" w:type="dxa"/>
          </w:tcPr>
          <w:p w14:paraId="2ADA6F7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177</w:t>
            </w:r>
          </w:p>
        </w:tc>
        <w:tc>
          <w:tcPr>
            <w:tcW w:w="1500" w:type="dxa"/>
          </w:tcPr>
          <w:p w14:paraId="18F1D71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Léxico</w:t>
            </w:r>
          </w:p>
        </w:tc>
        <w:tc>
          <w:tcPr>
            <w:tcW w:w="1500" w:type="dxa"/>
          </w:tcPr>
          <w:p w14:paraId="10D6023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7D200F4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4.900 entradas</w:t>
            </w:r>
          </w:p>
        </w:tc>
      </w:tr>
      <w:tr w:rsidR="3DB4A857" w14:paraId="64F54BE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500" w:type="dxa"/>
          </w:tcPr>
          <w:p w14:paraId="70F18319" w14:textId="77777777" w:rsidR="3DB4A857" w:rsidRDefault="3DB4A857" w:rsidP="3DB4A857">
            <w:pPr>
              <w:rPr>
                <w:rFonts w:ascii="Calibri" w:eastAsia="Calibri" w:hAnsi="Calibri" w:cs="Calibri"/>
              </w:rPr>
            </w:pPr>
            <w:r>
              <w:rPr>
                <w:rFonts w:ascii="Calibri" w:eastAsia="Calibri" w:hAnsi="Calibri" w:cs="Calibri"/>
                <w:i/>
              </w:rPr>
              <w:t>Gramática Pedagógica del Inga</w:t>
            </w:r>
            <w:r>
              <w:rPr>
                <w:rFonts w:ascii="Calibri" w:eastAsia="Calibri" w:hAnsi="Calibri" w:cs="Calibri"/>
              </w:rPr>
              <w:t xml:space="preserve"> (Levinsohn y Mongui)</w:t>
            </w:r>
          </w:p>
        </w:tc>
        <w:tc>
          <w:tcPr>
            <w:tcW w:w="1500" w:type="dxa"/>
          </w:tcPr>
          <w:p w14:paraId="7C3F4AF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principalmente</w:t>
            </w:r>
          </w:p>
        </w:tc>
        <w:tc>
          <w:tcPr>
            <w:tcW w:w="1500" w:type="dxa"/>
          </w:tcPr>
          <w:p w14:paraId="232BF3B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228</w:t>
            </w:r>
          </w:p>
        </w:tc>
        <w:tc>
          <w:tcPr>
            <w:tcW w:w="1500" w:type="dxa"/>
          </w:tcPr>
          <w:p w14:paraId="6831BBC6"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Didáctico</w:t>
            </w:r>
          </w:p>
        </w:tc>
        <w:tc>
          <w:tcPr>
            <w:tcW w:w="1500" w:type="dxa"/>
          </w:tcPr>
          <w:p w14:paraId="56FD844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56C8807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560 bloques</w:t>
            </w:r>
          </w:p>
        </w:tc>
      </w:tr>
      <w:tr w:rsidR="3DB4A857" w14:paraId="0AB96160"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316E456C" w14:textId="77777777" w:rsidR="3DB4A857" w:rsidRDefault="3DB4A857" w:rsidP="3DB4A857">
            <w:pPr>
              <w:rPr>
                <w:rFonts w:ascii="Calibri" w:eastAsia="Calibri" w:hAnsi="Calibri" w:cs="Calibri"/>
              </w:rPr>
            </w:pPr>
            <w:r w:rsidRPr="3DB4A857">
              <w:rPr>
                <w:rFonts w:ascii="Calibri" w:eastAsia="Calibri" w:hAnsi="Calibri" w:cs="Calibri"/>
              </w:rPr>
              <w:t>Apéndice morfosintáctico (Rosetta Project)</w:t>
            </w:r>
          </w:p>
        </w:tc>
        <w:tc>
          <w:tcPr>
            <w:tcW w:w="1500" w:type="dxa"/>
          </w:tcPr>
          <w:p w14:paraId="6E6A0BE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7557D50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26</w:t>
            </w:r>
          </w:p>
        </w:tc>
        <w:tc>
          <w:tcPr>
            <w:tcW w:w="1500" w:type="dxa"/>
          </w:tcPr>
          <w:p w14:paraId="4593DF8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Técnico</w:t>
            </w:r>
          </w:p>
        </w:tc>
        <w:tc>
          <w:tcPr>
            <w:tcW w:w="1500" w:type="dxa"/>
          </w:tcPr>
          <w:p w14:paraId="54F33F9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12DB863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45 bloques</w:t>
            </w:r>
          </w:p>
        </w:tc>
      </w:tr>
      <w:tr w:rsidR="3DB4A857" w14:paraId="7E4281FE"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500" w:type="dxa"/>
          </w:tcPr>
          <w:p w14:paraId="04D94E7C" w14:textId="77777777" w:rsidR="3DB4A857" w:rsidRDefault="3DB4A857" w:rsidP="3DB4A857">
            <w:pPr>
              <w:rPr>
                <w:rFonts w:ascii="Calibri" w:eastAsia="Calibri" w:hAnsi="Calibri" w:cs="Calibri"/>
              </w:rPr>
            </w:pPr>
            <w:r>
              <w:rPr>
                <w:rFonts w:ascii="Calibri" w:eastAsia="Calibri" w:hAnsi="Calibri" w:cs="Calibri"/>
                <w:i/>
              </w:rPr>
              <w:t>El Nuevo Testamento en Inga</w:t>
            </w:r>
            <w:r>
              <w:rPr>
                <w:rFonts w:ascii="Calibri" w:eastAsia="Calibri" w:hAnsi="Calibri" w:cs="Calibri"/>
              </w:rPr>
              <w:t xml:space="preserve"> (Wycliffe Bible Translators, 2012)</w:t>
            </w:r>
          </w:p>
        </w:tc>
        <w:tc>
          <w:tcPr>
            <w:tcW w:w="1500" w:type="dxa"/>
          </w:tcPr>
          <w:p w14:paraId="1FA49DC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(probable)</w:t>
            </w:r>
          </w:p>
        </w:tc>
        <w:tc>
          <w:tcPr>
            <w:tcW w:w="1500" w:type="dxa"/>
          </w:tcPr>
          <w:p w14:paraId="09458DA6"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595</w:t>
            </w:r>
          </w:p>
        </w:tc>
        <w:tc>
          <w:tcPr>
            <w:tcW w:w="1500" w:type="dxa"/>
          </w:tcPr>
          <w:p w14:paraId="4C57CF2D"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Bíblico-literario</w:t>
            </w:r>
          </w:p>
        </w:tc>
        <w:tc>
          <w:tcPr>
            <w:tcW w:w="1500" w:type="dxa"/>
          </w:tcPr>
          <w:p w14:paraId="5FB3E23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Versículo</w:t>
            </w:r>
          </w:p>
        </w:tc>
        <w:tc>
          <w:tcPr>
            <w:tcW w:w="1500" w:type="dxa"/>
          </w:tcPr>
          <w:p w14:paraId="12F93A6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6.083 versículos</w:t>
            </w:r>
          </w:p>
        </w:tc>
      </w:tr>
      <w:tr w:rsidR="3DB4A857" w14:paraId="4199840C"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5881E1C9" w14:textId="77777777" w:rsidR="3DB4A857" w:rsidRDefault="3DB4A857" w:rsidP="3DB4A857">
            <w:pPr>
              <w:rPr>
                <w:rFonts w:ascii="Calibri" w:eastAsia="Calibri" w:hAnsi="Calibri" w:cs="Calibri"/>
              </w:rPr>
            </w:pPr>
            <w:r>
              <w:rPr>
                <w:rFonts w:ascii="Calibri" w:eastAsia="Calibri" w:hAnsi="Calibri" w:cs="Calibri"/>
                <w:i/>
              </w:rPr>
              <w:t>Antihua Pacay Gentecunapa Parlocuna</w:t>
            </w:r>
            <w:r>
              <w:rPr>
                <w:rFonts w:ascii="Calibri" w:eastAsia="Calibri" w:hAnsi="Calibri" w:cs="Calibri"/>
              </w:rPr>
              <w:t xml:space="preserve"> (Jamioy </w:t>
            </w:r>
            <w:r>
              <w:rPr>
                <w:rFonts w:ascii="Calibri" w:eastAsia="Calibri" w:hAnsi="Calibri" w:cs="Calibri"/>
              </w:rPr>
              <w:lastRenderedPageBreak/>
              <w:t>Yanangona de Peña, 1985)</w:t>
            </w:r>
          </w:p>
        </w:tc>
        <w:tc>
          <w:tcPr>
            <w:tcW w:w="1500" w:type="dxa"/>
          </w:tcPr>
          <w:p w14:paraId="09BFC73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lastRenderedPageBreak/>
              <w:t>MP (Mocoa)</w:t>
            </w:r>
          </w:p>
        </w:tc>
        <w:tc>
          <w:tcPr>
            <w:tcW w:w="1500" w:type="dxa"/>
          </w:tcPr>
          <w:p w14:paraId="1D4B6C9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68</w:t>
            </w:r>
          </w:p>
        </w:tc>
        <w:tc>
          <w:tcPr>
            <w:tcW w:w="1500" w:type="dxa"/>
          </w:tcPr>
          <w:p w14:paraId="7191B93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Narrativo oral</w:t>
            </w:r>
          </w:p>
        </w:tc>
        <w:tc>
          <w:tcPr>
            <w:tcW w:w="1500" w:type="dxa"/>
          </w:tcPr>
          <w:p w14:paraId="7E7C57E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Bloque</w:t>
            </w:r>
          </w:p>
        </w:tc>
        <w:tc>
          <w:tcPr>
            <w:tcW w:w="1500" w:type="dxa"/>
          </w:tcPr>
          <w:p w14:paraId="034678EB"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86 pares exploratorios</w:t>
            </w:r>
          </w:p>
        </w:tc>
      </w:tr>
    </w:tbl>
    <w:p w14:paraId="396B8E70" w14:textId="77777777" w:rsidR="00636E09" w:rsidRPr="0059770D"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 xml:space="preserve">Elaboración propia a partir de los notebooks 03 a 07 de este trabajo. </w:t>
      </w:r>
      <w:r w:rsidRPr="0059770D">
        <w:rPr>
          <w:rFonts w:eastAsia="Calibri" w:cs="Calibri"/>
          <w:iCs w:val="0"/>
          <w:szCs w:val="19"/>
          <w:lang w:val="es-CO"/>
        </w:rPr>
        <w:t>La cifra total de páginas OCR asciende a 1.094.</w:t>
      </w:r>
    </w:p>
    <w:p w14:paraId="6E44338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Extracción de las fuentes primarias.</w:t>
      </w:r>
      <w:r w:rsidRPr="00A1331B">
        <w:rPr>
          <w:rFonts w:ascii="Calibri" w:eastAsia="Calibri" w:hAnsi="Calibri" w:cs="Calibri"/>
          <w:color w:val="000000" w:themeColor="text1"/>
        </w:rPr>
        <w:t xml:space="preserve"> Las cinco fuentes primarias del Inga existen únicamente como documentos PDF, varios de ellos digitalizaciones de materiales impresos de las décadas de 1980 y 1990. Antes de cualquier alineación hubo que convertir esos PDF en texto procesable, y la decisión de diseño en este punto condiciona todo lo que viene después. En lugar de extraer texto plano, se optó por un reconocimiento óptico que preservara la estructura del documento: encabezados, tablas, saltos de página y disposición en columnas.</w:t>
      </w:r>
    </w:p>
    <w:p w14:paraId="4978CD61" w14:textId="444E6FA0"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extracción se realizó con mistral-</w:t>
      </w:r>
      <w:proofErr w:type="spellStart"/>
      <w:r w:rsidRPr="00A1331B">
        <w:rPr>
          <w:rFonts w:ascii="Calibri" w:eastAsia="Calibri" w:hAnsi="Calibri" w:cs="Calibri"/>
          <w:color w:val="000000" w:themeColor="text1"/>
        </w:rPr>
        <w:t>ocr</w:t>
      </w:r>
      <w:proofErr w:type="spellEnd"/>
      <w:r w:rsidRPr="00A1331B">
        <w:rPr>
          <w:rFonts w:ascii="Calibri" w:eastAsia="Calibri" w:hAnsi="Calibri" w:cs="Calibri"/>
          <w:color w:val="000000" w:themeColor="text1"/>
        </w:rPr>
        <w:t xml:space="preserve">-extractor, una herramienta de línea de comandos desarrollada por el propio autor de este trabajo (Santos, https://github.com/wsantosai/mistral-ocr-extractor) que procesa por lotes archivos PDF e imágenes apoyándose en la API de OCR de Mistral. Disponer de una herramienta propia, en lugar de un servicio cerrado, permitió controlar el formato de salida y </w:t>
      </w:r>
      <w:proofErr w:type="spellStart"/>
      <w:r w:rsidRPr="00A1331B">
        <w:rPr>
          <w:rFonts w:ascii="Calibri" w:eastAsia="Calibri" w:hAnsi="Calibri" w:cs="Calibri"/>
          <w:color w:val="000000" w:themeColor="text1"/>
        </w:rPr>
        <w:t>reejecutar</w:t>
      </w:r>
      <w:proofErr w:type="spellEnd"/>
      <w:r w:rsidRPr="00A1331B">
        <w:rPr>
          <w:rFonts w:ascii="Calibri" w:eastAsia="Calibri" w:hAnsi="Calibri" w:cs="Calibri"/>
          <w:color w:val="000000" w:themeColor="text1"/>
        </w:rPr>
        <w:t xml:space="preserve"> la extracción cuantas veces hizo falta sin coste de reimplementación. La herramienta produce un archivo </w:t>
      </w:r>
      <w:proofErr w:type="spellStart"/>
      <w:r w:rsidRPr="00A1331B">
        <w:rPr>
          <w:rFonts w:ascii="Calibri" w:eastAsia="Calibri" w:hAnsi="Calibri" w:cs="Calibri"/>
          <w:color w:val="000000" w:themeColor="text1"/>
        </w:rPr>
        <w:t>Markdown</w:t>
      </w:r>
      <w:proofErr w:type="spellEnd"/>
      <w:r w:rsidRPr="00A1331B">
        <w:rPr>
          <w:rFonts w:ascii="Calibri" w:eastAsia="Calibri" w:hAnsi="Calibri" w:cs="Calibri"/>
          <w:color w:val="000000" w:themeColor="text1"/>
        </w:rPr>
        <w:t xml:space="preserve"> por documento, con un </w:t>
      </w:r>
      <w:proofErr w:type="spellStart"/>
      <w:r w:rsidRPr="00A1331B">
        <w:rPr>
          <w:rFonts w:ascii="Calibri" w:eastAsia="Calibri" w:hAnsi="Calibri" w:cs="Calibri"/>
          <w:color w:val="000000" w:themeColor="text1"/>
        </w:rPr>
        <w:t>frontmatter</w:t>
      </w:r>
      <w:proofErr w:type="spellEnd"/>
      <w:r w:rsidRPr="00A1331B">
        <w:rPr>
          <w:rFonts w:ascii="Calibri" w:eastAsia="Calibri" w:hAnsi="Calibri" w:cs="Calibri"/>
          <w:color w:val="000000" w:themeColor="text1"/>
        </w:rPr>
        <w:t xml:space="preserve"> de metadatos y marcadores de página de la forma </w:t>
      </w:r>
      <w:proofErr w:type="gramStart"/>
      <w:r w:rsidRPr="00A1331B">
        <w:rPr>
          <w:rFonts w:ascii="Calibri" w:eastAsia="Calibri" w:hAnsi="Calibri" w:cs="Calibri"/>
          <w:color w:val="000000" w:themeColor="text1"/>
        </w:rPr>
        <w:t>&lt;!--</w:t>
      </w:r>
      <w:proofErr w:type="gramEnd"/>
      <w:r w:rsidRPr="00A1331B">
        <w:rPr>
          <w:rFonts w:ascii="Calibri" w:eastAsia="Calibri" w:hAnsi="Calibri" w:cs="Calibri"/>
          <w:color w:val="000000" w:themeColor="text1"/>
        </w:rPr>
        <w:t xml:space="preserve"> Page N --&gt;</w:t>
      </w:r>
      <w:r w:rsidR="00A1331B">
        <w:rPr>
          <w:rFonts w:ascii="Calibri" w:eastAsia="Calibri" w:hAnsi="Calibri" w:cs="Calibri"/>
          <w:color w:val="000000" w:themeColor="text1"/>
        </w:rPr>
        <w:t xml:space="preserve"> </w:t>
      </w:r>
      <w:r w:rsidRPr="00A1331B">
        <w:rPr>
          <w:rFonts w:ascii="Calibri" w:eastAsia="Calibri" w:hAnsi="Calibri" w:cs="Calibri"/>
          <w:color w:val="000000" w:themeColor="text1"/>
        </w:rPr>
        <w:t>intercalados en el texto, y extrae además las imágenes embebidas a una subcarpeta. Los archivos depositados en datos/</w:t>
      </w:r>
      <w:proofErr w:type="spellStart"/>
      <w:r w:rsidRPr="00A1331B">
        <w:rPr>
          <w:rFonts w:ascii="Calibri" w:eastAsia="Calibri" w:hAnsi="Calibri" w:cs="Calibri"/>
          <w:color w:val="000000" w:themeColor="text1"/>
        </w:rPr>
        <w:t>ocr</w:t>
      </w:r>
      <w:proofErr w:type="spellEnd"/>
      <w:r w:rsidRPr="00A1331B">
        <w:rPr>
          <w:rFonts w:ascii="Calibri" w:eastAsia="Calibri" w:hAnsi="Calibri" w:cs="Calibri"/>
          <w:color w:val="000000" w:themeColor="text1"/>
        </w:rPr>
        <w:t xml:space="preserve">/ son la salida directa de ese proceso, sin edición manual posterior, una condición que se mantuvo de forma deliberada para que la extracción fuera reproducible y auditable: cualquiera que </w:t>
      </w:r>
      <w:proofErr w:type="spellStart"/>
      <w:r w:rsidRPr="00A1331B">
        <w:rPr>
          <w:rFonts w:ascii="Calibri" w:eastAsia="Calibri" w:hAnsi="Calibri" w:cs="Calibri"/>
          <w:color w:val="000000" w:themeColor="text1"/>
        </w:rPr>
        <w:t>reejecute</w:t>
      </w:r>
      <w:proofErr w:type="spellEnd"/>
      <w:r w:rsidRPr="00A1331B">
        <w:rPr>
          <w:rFonts w:ascii="Calibri" w:eastAsia="Calibri" w:hAnsi="Calibri" w:cs="Calibri"/>
          <w:color w:val="000000" w:themeColor="text1"/>
        </w:rPr>
        <w:t xml:space="preserve"> el pipeline parte del mismo material.</w:t>
      </w:r>
    </w:p>
    <w:p w14:paraId="3A6BE345" w14:textId="101D1702"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elección de </w:t>
      </w:r>
      <w:proofErr w:type="spellStart"/>
      <w:r w:rsidRPr="00A1331B">
        <w:rPr>
          <w:rFonts w:ascii="Calibri" w:eastAsia="Calibri" w:hAnsi="Calibri" w:cs="Calibri"/>
          <w:color w:val="000000" w:themeColor="text1"/>
        </w:rPr>
        <w:t>Markdown</w:t>
      </w:r>
      <w:proofErr w:type="spellEnd"/>
      <w:r w:rsidRPr="00A1331B">
        <w:rPr>
          <w:rFonts w:ascii="Calibri" w:eastAsia="Calibri" w:hAnsi="Calibri" w:cs="Calibri"/>
          <w:color w:val="000000" w:themeColor="text1"/>
        </w:rPr>
        <w:t xml:space="preserve"> como formato intermedio no es accesoria. Los </w:t>
      </w:r>
      <w:proofErr w:type="spellStart"/>
      <w:r w:rsidRPr="00A1331B">
        <w:rPr>
          <w:rFonts w:ascii="Calibri" w:eastAsia="Calibri" w:hAnsi="Calibri" w:cs="Calibri"/>
          <w:color w:val="000000" w:themeColor="text1"/>
        </w:rPr>
        <w:t>parsers</w:t>
      </w:r>
      <w:proofErr w:type="spellEnd"/>
      <w:r w:rsidRPr="00A1331B">
        <w:rPr>
          <w:rFonts w:ascii="Calibri" w:eastAsia="Calibri" w:hAnsi="Calibri" w:cs="Calibri"/>
          <w:color w:val="000000" w:themeColor="text1"/>
        </w:rPr>
        <w:t xml:space="preserve"> estructurados de los notebooks posteriores se apoyan precisamente en las marcas que el OCR conserva. El reconstructor del Nuevo Testamento Inga (Notebook 03) usa los encabezados y los marcadores de página para recuperar la tupla canónica libro-capítulo-versículo; la indexación del diccionario (Notebook 08) aprovecha la estructura de entradas que el OCR mantiene como listas y tablas. Una extracción a texto plano habría borrado esas señales y habría obligado a una reconstrucción mucho más frágil.</w:t>
      </w:r>
    </w:p>
    <w:p w14:paraId="57FAB085"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lastRenderedPageBreak/>
        <w:t xml:space="preserve">El reto principal fue la heterogeneidad. Las cinco fuentes no comparten ni formato ni calidad de origen: el Nuevo Testamento de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son 595 páginas con estructura </w:t>
      </w:r>
      <w:proofErr w:type="spellStart"/>
      <w:r w:rsidRPr="00A1331B">
        <w:rPr>
          <w:rFonts w:ascii="Calibri" w:eastAsia="Calibri" w:hAnsi="Calibri" w:cs="Calibri"/>
          <w:color w:val="000000" w:themeColor="text1"/>
        </w:rPr>
        <w:t>versicular</w:t>
      </w:r>
      <w:proofErr w:type="spellEnd"/>
      <w:r w:rsidRPr="00A1331B">
        <w:rPr>
          <w:rFonts w:ascii="Calibri" w:eastAsia="Calibri" w:hAnsi="Calibri" w:cs="Calibri"/>
          <w:color w:val="000000" w:themeColor="text1"/>
        </w:rPr>
        <w:t xml:space="preserve"> regular; el Diccionario Inga, 177 páginas de entradas bilingües a doble columna con marcas dialectales; la gramática pedagógica de Levinsohn, 228 páginas que mezclan prosa explicativa con ejemplos glosados; el apéndice morfosintáctico Rosetta, 26 páginas de tablas densas; y la cartilla </w:t>
      </w:r>
      <w:proofErr w:type="spellStart"/>
      <w:r w:rsidRPr="00A1331B">
        <w:rPr>
          <w:rFonts w:ascii="Calibri" w:eastAsia="Calibri" w:hAnsi="Calibri" w:cs="Calibri"/>
          <w:color w:val="000000" w:themeColor="text1"/>
        </w:rPr>
        <w:t>Antihua</w:t>
      </w:r>
      <w:proofErr w:type="spellEnd"/>
      <w:r w:rsidRPr="00A1331B">
        <w:rPr>
          <w:rFonts w:ascii="Calibri" w:eastAsia="Calibri" w:hAnsi="Calibri" w:cs="Calibri"/>
          <w:color w:val="000000" w:themeColor="text1"/>
        </w:rPr>
        <w:t xml:space="preserve"> Pacay, 68 páginas de narrativa en párrafos largos. Las 1.094 páginas resultantes, inventariadas en la Tabla 5, alimentan de forma desigual el corpus: el material con estructura regular se convierte en pares paralelos con facilidad, mientras que la narrativa libre, como se documenta en la subsección de resultados negativos, se resiste a la alineación oracional.</w:t>
      </w:r>
    </w:p>
    <w:p w14:paraId="4752D215"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Hay además una dimensión de licenciamiento que conviene anticipar aquí. Las extracciones se conservan en un repositorio privado solo para garantizar la reproducibilidad de los notebooks, porque las fuentes tienen condiciones dispares: el Nuevo Testamento de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se distribuye bajo CC BY-NC-ND 3.0, cuya cláusula de no derivados hace cuestionable la redistribución pública de una extracción OCR; los materiales de SIL International exigen cita académica; y el Diccionario Inga requiere autorización del Comité de Educación Inga de la Organización Musu </w:t>
      </w:r>
      <w:proofErr w:type="spellStart"/>
      <w:r w:rsidRPr="00A1331B">
        <w:rPr>
          <w:rFonts w:ascii="Calibri" w:eastAsia="Calibri" w:hAnsi="Calibri" w:cs="Calibri"/>
          <w:color w:val="000000" w:themeColor="text1"/>
        </w:rPr>
        <w:t>Runakuna</w:t>
      </w:r>
      <w:proofErr w:type="spellEnd"/>
      <w:r w:rsidRPr="00A1331B">
        <w:rPr>
          <w:rFonts w:ascii="Calibri" w:eastAsia="Calibri" w:hAnsi="Calibri" w:cs="Calibri"/>
          <w:color w:val="000000" w:themeColor="text1"/>
        </w:rPr>
        <w:t>. Estas restricciones se retoman en las consideraciones éticas del trabajo.</w:t>
      </w:r>
    </w:p>
    <w:p w14:paraId="4F523B75"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3" w:name="_Toc230950274"/>
      <w:bookmarkStart w:id="94" w:name="_Toc233199087"/>
      <w:r w:rsidRPr="3DB4A857">
        <w:rPr>
          <w:rFonts w:ascii="Calibri Light" w:eastAsia="Calibri Light" w:hAnsi="Calibri Light" w:cs="Calibri Light"/>
          <w:b w:val="0"/>
          <w:bCs w:val="0"/>
          <w:color w:val="000000" w:themeColor="text1"/>
          <w:szCs w:val="24"/>
        </w:rPr>
        <w:t xml:space="preserve">4.2.1 </w:t>
      </w:r>
      <w:proofErr w:type="spellStart"/>
      <w:r w:rsidRPr="3DB4A857">
        <w:rPr>
          <w:rFonts w:ascii="Calibri Light" w:eastAsia="Calibri Light" w:hAnsi="Calibri Light" w:cs="Calibri Light"/>
          <w:b w:val="0"/>
          <w:bCs w:val="0"/>
          <w:color w:val="000000" w:themeColor="text1"/>
          <w:szCs w:val="24"/>
        </w:rPr>
        <w:t>Reextracción</w:t>
      </w:r>
      <w:proofErr w:type="spellEnd"/>
      <w:r w:rsidRPr="3DB4A857">
        <w:rPr>
          <w:rFonts w:ascii="Calibri Light" w:eastAsia="Calibri Light" w:hAnsi="Calibri Light" w:cs="Calibri Light"/>
          <w:b w:val="0"/>
          <w:bCs w:val="0"/>
          <w:color w:val="000000" w:themeColor="text1"/>
          <w:szCs w:val="24"/>
        </w:rPr>
        <w:t xml:space="preserve"> estructurada del Nuevo Testamento en Inga</w:t>
      </w:r>
      <w:bookmarkEnd w:id="93"/>
      <w:bookmarkEnd w:id="94"/>
    </w:p>
    <w:p w14:paraId="20BFCA74" w14:textId="21D11F74"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OCR original del Nuevo Testamento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presenta tres tipos de señal aprovechables para reconstruir la estructura libro-capítulo-versículo: cabeceras de página en mayúsculas con el nombre del libro y el número de capítulo (con notación </w:t>
      </w:r>
      <w:r w:rsidRPr="00A1331B">
        <w:rPr>
          <w:rFonts w:ascii="Consolas" w:eastAsia="Consolas" w:hAnsi="Consolas" w:cs="Consolas"/>
          <w:color w:val="000000" w:themeColor="text1"/>
        </w:rPr>
        <w:t>LIBRO X, Y</w:t>
      </w:r>
      <w:r w:rsidRPr="00A1331B">
        <w:rPr>
          <w:rFonts w:ascii="Calibri" w:eastAsia="Calibri" w:hAnsi="Calibri" w:cs="Calibri"/>
          <w:color w:val="000000" w:themeColor="text1"/>
        </w:rPr>
        <w:t xml:space="preserve"> cuando la página cubre una transición de capítulo); marcadores de versículo en caracteres Unicode superíndice, </w:t>
      </w:r>
      <w:proofErr w:type="spellStart"/>
      <w:r w:rsidRPr="00A1331B">
        <w:rPr>
          <w:rFonts w:ascii="Calibri" w:eastAsia="Calibri" w:hAnsi="Calibri" w:cs="Calibri"/>
          <w:color w:val="000000" w:themeColor="text1"/>
        </w:rPr>
        <w:t>concatenables</w:t>
      </w:r>
      <w:proofErr w:type="spellEnd"/>
      <w:r w:rsidRPr="00A1331B">
        <w:rPr>
          <w:rFonts w:ascii="Calibri" w:eastAsia="Calibri" w:hAnsi="Calibri" w:cs="Calibri"/>
          <w:color w:val="000000" w:themeColor="text1"/>
        </w:rPr>
        <w:t xml:space="preserve"> como </w:t>
      </w:r>
      <w:r w:rsidRPr="00A1331B">
        <w:rPr>
          <w:rFonts w:ascii="Consolas" w:eastAsia="Consolas" w:hAnsi="Consolas" w:cs="Consolas"/>
          <w:color w:val="000000" w:themeColor="text1"/>
        </w:rPr>
        <w:t>¹²</w:t>
      </w:r>
      <w:r w:rsidRPr="00A1331B">
        <w:rPr>
          <w:rFonts w:ascii="Calibri" w:eastAsia="Calibri" w:hAnsi="Calibri" w:cs="Calibri"/>
          <w:color w:val="000000" w:themeColor="text1"/>
        </w:rPr>
        <w:t xml:space="preserve"> o combinados con guion como </w:t>
      </w:r>
      <w:r w:rsidRPr="00A1331B">
        <w:rPr>
          <w:rFonts w:ascii="Consolas" w:eastAsia="Consolas" w:hAnsi="Consolas" w:cs="Consolas"/>
          <w:color w:val="000000" w:themeColor="text1"/>
        </w:rPr>
        <w:t>⁴-⁵</w:t>
      </w:r>
      <w:r w:rsidRPr="00A1331B">
        <w:rPr>
          <w:rFonts w:ascii="Calibri" w:eastAsia="Calibri" w:hAnsi="Calibri" w:cs="Calibri"/>
          <w:color w:val="000000" w:themeColor="text1"/>
        </w:rPr>
        <w:t xml:space="preserve"> para versículos fusionados; y dígitos ASCII intercalados en el cuerpo del texto. 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desarrollado en el Notebook 03 recorre el </w:t>
      </w:r>
      <w:proofErr w:type="gramStart"/>
      <w:r w:rsidRPr="00A1331B">
        <w:rPr>
          <w:rFonts w:ascii="Calibri" w:eastAsia="Calibri" w:hAnsi="Calibri" w:cs="Calibri"/>
          <w:color w:val="000000" w:themeColor="text1"/>
        </w:rPr>
        <w:t>documento</w:t>
      </w:r>
      <w:r w:rsidR="00A1331B">
        <w:rPr>
          <w:rFonts w:ascii="Calibri" w:eastAsia="Calibri" w:hAnsi="Calibri" w:cs="Calibri"/>
          <w:color w:val="000000" w:themeColor="text1"/>
        </w:rPr>
        <w:t xml:space="preserve"> </w:t>
      </w:r>
      <w:r w:rsidRPr="00A1331B">
        <w:rPr>
          <w:rFonts w:ascii="Calibri" w:eastAsia="Calibri" w:hAnsi="Calibri" w:cs="Calibri"/>
          <w:color w:val="000000" w:themeColor="text1"/>
        </w:rPr>
        <w:t>línea</w:t>
      </w:r>
      <w:proofErr w:type="gramEnd"/>
      <w:r w:rsidRPr="00A1331B">
        <w:rPr>
          <w:rFonts w:ascii="Calibri" w:eastAsia="Calibri" w:hAnsi="Calibri" w:cs="Calibri"/>
          <w:color w:val="000000" w:themeColor="text1"/>
        </w:rPr>
        <w:t xml:space="preserve"> por línea manteniendo el estado actual de libro y capítulo, descarta encabezados de </w:t>
      </w:r>
      <w:proofErr w:type="spellStart"/>
      <w:r w:rsidRPr="00A1331B">
        <w:rPr>
          <w:rFonts w:ascii="Calibri" w:eastAsia="Calibri" w:hAnsi="Calibri" w:cs="Calibri"/>
          <w:color w:val="000000" w:themeColor="text1"/>
        </w:rPr>
        <w:t>pericope</w:t>
      </w:r>
      <w:proofErr w:type="spellEnd"/>
      <w:r w:rsidRPr="00A1331B">
        <w:rPr>
          <w:rFonts w:ascii="Calibri" w:eastAsia="Calibri" w:hAnsi="Calibri" w:cs="Calibri"/>
          <w:color w:val="000000" w:themeColor="text1"/>
        </w:rPr>
        <w:t xml:space="preserve"> (que el OCR marca con el mismo nivel de </w:t>
      </w:r>
      <w:proofErr w:type="spellStart"/>
      <w:r w:rsidRPr="00A1331B">
        <w:rPr>
          <w:rFonts w:ascii="Calibri" w:eastAsia="Calibri" w:hAnsi="Calibri" w:cs="Calibri"/>
          <w:color w:val="000000" w:themeColor="text1"/>
        </w:rPr>
        <w:t>heading</w:t>
      </w:r>
      <w:proofErr w:type="spellEnd"/>
      <w:r w:rsidRPr="00A1331B">
        <w:rPr>
          <w:rFonts w:ascii="Calibri" w:eastAsia="Calibri" w:hAnsi="Calibri" w:cs="Calibri"/>
          <w:color w:val="000000" w:themeColor="text1"/>
        </w:rPr>
        <w:t xml:space="preserve"> que las divisiones de libro) y aplica un resolutor contextual para los casos ambiguos: el </w:t>
      </w:r>
      <w:proofErr w:type="spellStart"/>
      <w:r w:rsidRPr="00A1331B">
        <w:rPr>
          <w:rFonts w:ascii="Calibri" w:eastAsia="Calibri" w:hAnsi="Calibri" w:cs="Calibri"/>
          <w:color w:val="000000" w:themeColor="text1"/>
        </w:rPr>
        <w:t>heading</w:t>
      </w:r>
      <w:proofErr w:type="spellEnd"/>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 xml:space="preserve"># SAN </w:t>
      </w:r>
      <w:r w:rsidRPr="00A1331B">
        <w:rPr>
          <w:rFonts w:ascii="Consolas" w:eastAsia="Consolas" w:hAnsi="Consolas" w:cs="Consolas"/>
          <w:color w:val="000000" w:themeColor="text1"/>
        </w:rPr>
        <w:lastRenderedPageBreak/>
        <w:t>JUAN</w:t>
      </w:r>
      <w:r w:rsidRPr="00A1331B">
        <w:rPr>
          <w:rFonts w:ascii="Calibri" w:eastAsia="Calibri" w:hAnsi="Calibri" w:cs="Calibri"/>
          <w:color w:val="000000" w:themeColor="text1"/>
        </w:rPr>
        <w:t>, por ejemplo, puede corresponder al evangelio o a las epístolas 1, 2 o 3 Juan según cuál de esos libros ya se haya procesado vía cabeceras de página.</w:t>
      </w:r>
    </w:p>
    <w:p w14:paraId="78C67A89"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resultado es una salida JSONL con 6.083 versículos únicos del NT Inga, equivalentes al 76,5% del canon de 7.958. La distribución por libro se mantiene relativamente uniforme entre el 70% y el 85% de cobertura, con caídas en los libros muy cortos (2 Juan, 3 Juan) cuyo OCR fragmenta los pocos marcadores de versículo disponibles.</w:t>
      </w:r>
    </w:p>
    <w:p w14:paraId="7157D506"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5" w:name="_Toc230950275"/>
      <w:bookmarkStart w:id="96" w:name="_Toc233199088"/>
      <w:r w:rsidRPr="3DB4A857">
        <w:rPr>
          <w:rFonts w:ascii="Calibri Light" w:eastAsia="Calibri Light" w:hAnsi="Calibri Light" w:cs="Calibri Light"/>
          <w:b w:val="0"/>
          <w:bCs w:val="0"/>
          <w:color w:val="000000" w:themeColor="text1"/>
          <w:szCs w:val="24"/>
        </w:rPr>
        <w:t>4.2.2 Extracción del Nuevo Testamento en español</w:t>
      </w:r>
      <w:bookmarkEnd w:id="95"/>
      <w:bookmarkEnd w:id="96"/>
    </w:p>
    <w:p w14:paraId="51943FBD"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selección del corpus paralelo en español requiere conciliar dos restricciones competitivas: que la traducción sea culturalmente próxima al uso del Putumayo y que sea redistribuible para preservar el compromiso del proyecto con la liberación abierta de los recursos. La Biblia Latinoamericana, aunque es la traducción más leída en el sur de Colombia, mantiene copyright vigente de Editorial Verbo Divino hasta aproximadamente 2074 y por tanto no puede formar parte de un corpus paralelo abierto. La traducción de Torres Amat (1832), católica y en dominio público verificado, sólo está disponible como escaneos antiguos de calidad de OCR variable, con problemas de columnas mezcladas y texto latino paralelo que reducirían la tasa de alineación esperada a menos del 80%. La Reina-Valera 1909, en cambio, está disponible en formato USFM estructurado a través del distribuidor eBible.org, con dominio público explícito y certificación de procedencia. Aunque es una traducción protestante, la estructura libro-capítulo-versículo del Nuevo Testamento es idéntica al canon católico, lo que permite una alineación sin pérdida estructural con el NT Inga (de origen también protestante por su traductor,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w:t>
      </w:r>
    </w:p>
    <w:p w14:paraId="3F5E198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04 procesa los 27 archivos USFM del NT Reina-Valera 1909 eliminando el marcado </w:t>
      </w:r>
      <w:proofErr w:type="spellStart"/>
      <w:r w:rsidRPr="00A1331B">
        <w:rPr>
          <w:rFonts w:ascii="Calibri" w:eastAsia="Calibri" w:hAnsi="Calibri" w:cs="Calibri"/>
          <w:color w:val="000000" w:themeColor="text1"/>
        </w:rPr>
        <w:t>anotativo</w:t>
      </w:r>
      <w:proofErr w:type="spellEnd"/>
      <w:r w:rsidRPr="00A1331B">
        <w:rPr>
          <w:rFonts w:ascii="Calibri" w:eastAsia="Calibri" w:hAnsi="Calibri" w:cs="Calibri"/>
          <w:color w:val="000000" w:themeColor="text1"/>
        </w:rPr>
        <w:t xml:space="preserve"> (etiquetas Strong, notas al pie, referencias cruzadas y palabras añadidas por el traductor entre </w:t>
      </w:r>
      <w:r w:rsidRPr="00A1331B">
        <w:rPr>
          <w:rFonts w:ascii="Consolas" w:eastAsia="Consolas" w:hAnsi="Consolas" w:cs="Consolas"/>
          <w:color w:val="000000" w:themeColor="text1"/>
        </w:rPr>
        <w:t>\</w:t>
      </w:r>
      <w:proofErr w:type="spellStart"/>
      <w:r w:rsidRPr="00A1331B">
        <w:rPr>
          <w:rFonts w:ascii="Consolas" w:eastAsia="Consolas" w:hAnsi="Consolas" w:cs="Consolas"/>
          <w:color w:val="000000" w:themeColor="text1"/>
        </w:rPr>
        <w:t>add</w:t>
      </w:r>
      <w:proofErr w:type="spellEnd"/>
      <w:r w:rsidRPr="00A1331B">
        <w:rPr>
          <w:rFonts w:ascii="Calibri" w:eastAsia="Calibri" w:hAnsi="Calibri" w:cs="Calibri"/>
          <w:color w:val="000000" w:themeColor="text1"/>
        </w:rPr>
        <w:t>...</w:t>
      </w:r>
      <w:r w:rsidRPr="00A1331B">
        <w:rPr>
          <w:rFonts w:ascii="Consolas" w:eastAsia="Consolas" w:hAnsi="Consolas" w:cs="Consolas"/>
          <w:color w:val="000000" w:themeColor="text1"/>
        </w:rPr>
        <w:t>\</w:t>
      </w:r>
      <w:proofErr w:type="spellStart"/>
      <w:r w:rsidRPr="00A1331B">
        <w:rPr>
          <w:rFonts w:ascii="Consolas" w:eastAsia="Consolas" w:hAnsi="Consolas" w:cs="Consolas"/>
          <w:color w:val="000000" w:themeColor="text1"/>
        </w:rPr>
        <w:t>add</w:t>
      </w:r>
      <w:proofErr w:type="spellEnd"/>
      <w:r w:rsidRPr="00A1331B">
        <w:rPr>
          <w:rFonts w:ascii="Consolas" w:eastAsia="Consolas" w:hAnsi="Consolas" w:cs="Consolas"/>
          <w:color w:val="000000" w:themeColor="text1"/>
        </w:rPr>
        <w:t>*</w:t>
      </w:r>
      <w:r w:rsidRPr="00A1331B">
        <w:rPr>
          <w:rFonts w:ascii="Calibri" w:eastAsia="Calibri" w:hAnsi="Calibri" w:cs="Calibri"/>
          <w:color w:val="000000" w:themeColor="text1"/>
        </w:rPr>
        <w:t xml:space="preserve">). El resultado preserva 7.955 de los 7.958 versículos canónicos (99,96%), </w:t>
      </w:r>
      <w:proofErr w:type="gramStart"/>
      <w:r w:rsidRPr="00A1331B">
        <w:rPr>
          <w:rFonts w:ascii="Calibri" w:eastAsia="Calibri" w:hAnsi="Calibri" w:cs="Calibri"/>
          <w:color w:val="000000" w:themeColor="text1"/>
        </w:rPr>
        <w:t>un 23 puntos</w:t>
      </w:r>
      <w:proofErr w:type="gramEnd"/>
      <w:r w:rsidRPr="00A1331B">
        <w:rPr>
          <w:rFonts w:ascii="Calibri" w:eastAsia="Calibri" w:hAnsi="Calibri" w:cs="Calibri"/>
          <w:color w:val="000000" w:themeColor="text1"/>
        </w:rPr>
        <w:t xml:space="preserve"> por encima de la cobertura alcanzada por 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del NT Inga, lo cual era esperable: el USFM es texto digital nativo, mientras que el Inga es OCR sobre un PDF impreso.</w:t>
      </w:r>
    </w:p>
    <w:p w14:paraId="1806A1D8"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7" w:name="_Toc230950276"/>
      <w:bookmarkStart w:id="98" w:name="_Toc233199089"/>
      <w:r w:rsidRPr="3DB4A857">
        <w:rPr>
          <w:rFonts w:ascii="Calibri Light" w:eastAsia="Calibri Light" w:hAnsi="Calibri Light" w:cs="Calibri Light"/>
          <w:b w:val="0"/>
          <w:bCs w:val="0"/>
          <w:color w:val="000000" w:themeColor="text1"/>
          <w:szCs w:val="24"/>
        </w:rPr>
        <w:lastRenderedPageBreak/>
        <w:t>4.2.3 Alineación canónica versículo a versículo</w:t>
      </w:r>
      <w:bookmarkEnd w:id="97"/>
      <w:bookmarkEnd w:id="98"/>
    </w:p>
    <w:p w14:paraId="517BA5B9"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05 ejecuta un </w:t>
      </w:r>
      <w:proofErr w:type="spellStart"/>
      <w:r w:rsidRPr="00A1331B">
        <w:rPr>
          <w:rFonts w:ascii="Calibri" w:eastAsia="Calibri" w:hAnsi="Calibri" w:cs="Calibri"/>
          <w:i/>
          <w:iCs/>
          <w:color w:val="000000" w:themeColor="text1"/>
        </w:rPr>
        <w:t>inner</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join</w:t>
      </w:r>
      <w:proofErr w:type="spellEnd"/>
      <w:r w:rsidRPr="00A1331B">
        <w:rPr>
          <w:rFonts w:ascii="Calibri" w:eastAsia="Calibri" w:hAnsi="Calibri" w:cs="Calibri"/>
          <w:color w:val="000000" w:themeColor="text1"/>
        </w:rPr>
        <w:t xml:space="preserve"> exacto entre las dos salidas JSONL utilizando la tupla </w:t>
      </w:r>
      <w:r w:rsidRPr="00A1331B">
        <w:rPr>
          <w:rFonts w:ascii="Consolas" w:eastAsia="Consolas" w:hAnsi="Consolas" w:cs="Consolas"/>
          <w:color w:val="000000" w:themeColor="text1"/>
        </w:rPr>
        <w:t>(libro, capítulo, versículo)</w:t>
      </w:r>
      <w:r w:rsidRPr="00A1331B">
        <w:rPr>
          <w:rFonts w:ascii="Calibri" w:eastAsia="Calibri" w:hAnsi="Calibri" w:cs="Calibri"/>
          <w:color w:val="000000" w:themeColor="text1"/>
        </w:rPr>
        <w:t xml:space="preserve"> como clave. El total de pares resultantes es 5.680, lo que equivale al 93,3% de los versículos disponibles en la versión Inga: los falsos positivos del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OCR (números que parecen </w:t>
      </w:r>
      <w:proofErr w:type="gramStart"/>
      <w:r w:rsidRPr="00A1331B">
        <w:rPr>
          <w:rFonts w:ascii="Calibri" w:eastAsia="Calibri" w:hAnsi="Calibri" w:cs="Calibri"/>
          <w:color w:val="000000" w:themeColor="text1"/>
        </w:rPr>
        <w:t>marcadores</w:t>
      </w:r>
      <w:proofErr w:type="gramEnd"/>
      <w:r w:rsidRPr="00A1331B">
        <w:rPr>
          <w:rFonts w:ascii="Calibri" w:eastAsia="Calibri" w:hAnsi="Calibri" w:cs="Calibri"/>
          <w:color w:val="000000" w:themeColor="text1"/>
        </w:rPr>
        <w:t xml:space="preserve"> pero no son versículos canónicos) se filtran naturalmente al no encontrar coincidencia en el lado español. Sobre esa salida se aplican tres filtros de calidad: longitud mínima de cinco palabras en ambos lados, relación máxima de longitudes de cinco a uno entre versiones (descarta desalineamientos obvios) y exclusión de versículos mayoritariamente numéricos. El corpus paralelo final contiene 5.589 pares con una longitud media de 21,2 palabras en Inga y 20,7 en español, y una relación media de longitudes de 1,44. Los 27 libros del Nuevo Testamento están representados.</w:t>
      </w:r>
    </w:p>
    <w:p w14:paraId="0F918446"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9" w:name="_Toc230950277"/>
      <w:bookmarkStart w:id="100" w:name="_Toc233199090"/>
      <w:r w:rsidRPr="3DB4A857">
        <w:rPr>
          <w:rFonts w:ascii="Calibri Light" w:eastAsia="Calibri Light" w:hAnsi="Calibri Light" w:cs="Calibri Light"/>
          <w:b w:val="0"/>
          <w:bCs w:val="0"/>
          <w:color w:val="000000" w:themeColor="text1"/>
          <w:szCs w:val="24"/>
        </w:rPr>
        <w:t xml:space="preserve">4.2.4 </w:t>
      </w:r>
      <w:proofErr w:type="spellStart"/>
      <w:r w:rsidRPr="3DB4A857">
        <w:rPr>
          <w:rFonts w:ascii="Calibri Light" w:eastAsia="Calibri Light" w:hAnsi="Calibri Light" w:cs="Calibri Light"/>
          <w:b w:val="0"/>
          <w:bCs w:val="0"/>
          <w:color w:val="000000" w:themeColor="text1"/>
          <w:szCs w:val="24"/>
        </w:rPr>
        <w:t>Antihua</w:t>
      </w:r>
      <w:proofErr w:type="spellEnd"/>
      <w:r w:rsidRPr="3DB4A857">
        <w:rPr>
          <w:rFonts w:ascii="Calibri Light" w:eastAsia="Calibri Light" w:hAnsi="Calibri Light" w:cs="Calibri Light"/>
          <w:b w:val="0"/>
          <w:bCs w:val="0"/>
          <w:color w:val="000000" w:themeColor="text1"/>
          <w:szCs w:val="24"/>
        </w:rPr>
        <w:t xml:space="preserve"> Pacay como recurso exploratorio</w:t>
      </w:r>
      <w:bookmarkEnd w:id="99"/>
      <w:bookmarkEnd w:id="100"/>
    </w:p>
    <w:p w14:paraId="5C8C31A4"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cartilla narrativa </w:t>
      </w:r>
      <w:proofErr w:type="spellStart"/>
      <w:r w:rsidRPr="00A1331B">
        <w:rPr>
          <w:rFonts w:ascii="Calibri" w:eastAsia="Calibri" w:hAnsi="Calibri" w:cs="Calibri"/>
          <w:i/>
          <w:iCs/>
          <w:color w:val="000000" w:themeColor="text1"/>
        </w:rPr>
        <w:t>Antihua</w:t>
      </w:r>
      <w:proofErr w:type="spellEnd"/>
      <w:r w:rsidRPr="00A1331B">
        <w:rPr>
          <w:rFonts w:ascii="Calibri" w:eastAsia="Calibri" w:hAnsi="Calibri" w:cs="Calibri"/>
          <w:i/>
          <w:iCs/>
          <w:color w:val="000000" w:themeColor="text1"/>
        </w:rPr>
        <w:t xml:space="preserve"> Pacay </w:t>
      </w:r>
      <w:proofErr w:type="spellStart"/>
      <w:r w:rsidRPr="00A1331B">
        <w:rPr>
          <w:rFonts w:ascii="Calibri" w:eastAsia="Calibri" w:hAnsi="Calibri" w:cs="Calibri"/>
          <w:i/>
          <w:iCs/>
          <w:color w:val="000000" w:themeColor="text1"/>
        </w:rPr>
        <w:t>Gentecunapa</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Parlocuna</w:t>
      </w:r>
      <w:proofErr w:type="spellEnd"/>
      <w:r w:rsidRPr="00A1331B">
        <w:rPr>
          <w:rFonts w:ascii="Calibri" w:eastAsia="Calibri" w:hAnsi="Calibri" w:cs="Calibri"/>
          <w:color w:val="000000" w:themeColor="text1"/>
        </w:rPr>
        <w:t xml:space="preserve"> es la única fuente primaria disponible del dialecto Medio Putumayo y por tanto es estratégicamente relevante para la cobertura </w:t>
      </w:r>
      <w:proofErr w:type="spellStart"/>
      <w:r w:rsidRPr="00A1331B">
        <w:rPr>
          <w:rFonts w:ascii="Calibri" w:eastAsia="Calibri" w:hAnsi="Calibri" w:cs="Calibri"/>
          <w:color w:val="000000" w:themeColor="text1"/>
        </w:rPr>
        <w:t>bidialectal</w:t>
      </w:r>
      <w:proofErr w:type="spellEnd"/>
      <w:r w:rsidRPr="00A1331B">
        <w:rPr>
          <w:rFonts w:ascii="Calibri" w:eastAsia="Calibri" w:hAnsi="Calibri" w:cs="Calibri"/>
          <w:color w:val="000000" w:themeColor="text1"/>
        </w:rPr>
        <w:t xml:space="preserve"> del proyecto. El Notebook 06 segmenta el documento en sus dos mitades (un bloque continuo en Inga seguido por un bloque parcial en español) e intenta alinear las historias por orden de aparición. Sólo la primera de las seis historias del documento dispone de traducción al español, y la alineación oración a oración por índice presenta desfase significativo (91 oraciones en Inga frente a 102 en español). El resultado, 86 pares con calidad heterogénea, se </w:t>
      </w:r>
      <w:proofErr w:type="gramStart"/>
      <w:r w:rsidRPr="00A1331B">
        <w:rPr>
          <w:rFonts w:ascii="Calibri" w:eastAsia="Calibri" w:hAnsi="Calibri" w:cs="Calibri"/>
          <w:color w:val="000000" w:themeColor="text1"/>
        </w:rPr>
        <w:t>documenta</w:t>
      </w:r>
      <w:proofErr w:type="gramEnd"/>
      <w:r w:rsidRPr="00A1331B">
        <w:rPr>
          <w:rFonts w:ascii="Calibri" w:eastAsia="Calibri" w:hAnsi="Calibri" w:cs="Calibri"/>
          <w:color w:val="000000" w:themeColor="text1"/>
        </w:rPr>
        <w:t xml:space="preserve"> pero queda fuera del corpus de entrenamiento empleado en este estudio. La alineación correcta requiere un alineador semántico basado en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multilingües, técnica que se identifica como vía de extensión natural del trabajo.</w:t>
      </w:r>
    </w:p>
    <w:p w14:paraId="095953F9"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01" w:name="_Toc230950278"/>
      <w:bookmarkStart w:id="102" w:name="_Toc233199091"/>
      <w:r w:rsidRPr="3DB4A857">
        <w:rPr>
          <w:rFonts w:ascii="Calibri Light" w:eastAsia="Calibri Light" w:hAnsi="Calibri Light" w:cs="Calibri Light"/>
          <w:b w:val="0"/>
          <w:bCs w:val="0"/>
          <w:color w:val="000000" w:themeColor="text1"/>
          <w:szCs w:val="24"/>
        </w:rPr>
        <w:t>4.2.5 Particiones del corpus</w:t>
      </w:r>
      <w:bookmarkEnd w:id="101"/>
      <w:bookmarkEnd w:id="102"/>
    </w:p>
    <w:p w14:paraId="42F7207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07 unifica las salidas y produce las particiones </w:t>
      </w:r>
      <w:proofErr w:type="spellStart"/>
      <w:r w:rsidRPr="00A1331B">
        <w:rPr>
          <w:rFonts w:ascii="Calibri" w:eastAsia="Calibri" w:hAnsi="Calibri" w:cs="Calibri"/>
          <w:color w:val="000000" w:themeColor="text1"/>
        </w:rPr>
        <w:t>train</w:t>
      </w:r>
      <w:proofErr w:type="spellEnd"/>
      <w:r w:rsidRPr="00A1331B">
        <w:rPr>
          <w:rFonts w:ascii="Calibri" w:eastAsia="Calibri" w:hAnsi="Calibri" w:cs="Calibri"/>
          <w:color w:val="000000" w:themeColor="text1"/>
        </w:rPr>
        <w:t xml:space="preserve">, val y test en proporción 80/10/10 mediante un </w:t>
      </w:r>
      <w:proofErr w:type="spellStart"/>
      <w:r w:rsidRPr="00A1331B">
        <w:rPr>
          <w:rFonts w:ascii="Calibri" w:eastAsia="Calibri" w:hAnsi="Calibri" w:cs="Calibri"/>
          <w:i/>
          <w:iCs/>
          <w:color w:val="000000" w:themeColor="text1"/>
        </w:rPr>
        <w:t>shuffle</w:t>
      </w:r>
      <w:proofErr w:type="spellEnd"/>
      <w:r w:rsidRPr="00A1331B">
        <w:rPr>
          <w:rFonts w:ascii="Calibri" w:eastAsia="Calibri" w:hAnsi="Calibri" w:cs="Calibri"/>
          <w:color w:val="000000" w:themeColor="text1"/>
        </w:rPr>
        <w:t xml:space="preserve"> aleatorio con semilla 42. La estratificación por libro, considerada inicialmente, no es viable porque dos libros del NT (2 Juan con 5 pares y 3 Juan con 6 pares en el corpus alineado) no tienen suficientes muestras para distribuirse en tres particiones disjuntas. El </w:t>
      </w:r>
      <w:proofErr w:type="spellStart"/>
      <w:r w:rsidRPr="00A1331B">
        <w:rPr>
          <w:rFonts w:ascii="Calibri" w:eastAsia="Calibri" w:hAnsi="Calibri" w:cs="Calibri"/>
          <w:i/>
          <w:iCs/>
          <w:color w:val="000000" w:themeColor="text1"/>
        </w:rPr>
        <w:t>shuffle</w:t>
      </w:r>
      <w:proofErr w:type="spellEnd"/>
      <w:r w:rsidRPr="00A1331B">
        <w:rPr>
          <w:rFonts w:ascii="Calibri" w:eastAsia="Calibri" w:hAnsi="Calibri" w:cs="Calibri"/>
          <w:color w:val="000000" w:themeColor="text1"/>
        </w:rPr>
        <w:t xml:space="preserve"> aleatorio cubre los 27 libros en </w:t>
      </w:r>
      <w:proofErr w:type="spellStart"/>
      <w:r w:rsidRPr="00A1331B">
        <w:rPr>
          <w:rFonts w:ascii="Calibri" w:eastAsia="Calibri" w:hAnsi="Calibri" w:cs="Calibri"/>
          <w:color w:val="000000" w:themeColor="text1"/>
        </w:rPr>
        <w:t>train</w:t>
      </w:r>
      <w:proofErr w:type="spellEnd"/>
      <w:r w:rsidRPr="00A1331B">
        <w:rPr>
          <w:rFonts w:ascii="Calibri" w:eastAsia="Calibri" w:hAnsi="Calibri" w:cs="Calibri"/>
          <w:color w:val="000000" w:themeColor="text1"/>
        </w:rPr>
        <w:t xml:space="preserve">, 25 en val y 26 en test, </w:t>
      </w:r>
      <w:r w:rsidRPr="00A1331B">
        <w:rPr>
          <w:rFonts w:ascii="Calibri" w:eastAsia="Calibri" w:hAnsi="Calibri" w:cs="Calibri"/>
          <w:color w:val="000000" w:themeColor="text1"/>
        </w:rPr>
        <w:lastRenderedPageBreak/>
        <w:t>con los faltantes correspondiendo a los dos libros mencionados. Las cifras absolutas son 4.471 pares de entrenamiento, 558 de validación y 560 de prueba.</w:t>
      </w:r>
    </w:p>
    <w:p w14:paraId="1DA4769B" w14:textId="77777777" w:rsidR="005E627C" w:rsidRDefault="384FA2C3" w:rsidP="00A1331B">
      <w:pPr>
        <w:keepNext/>
        <w:ind w:left="360"/>
        <w:jc w:val="center"/>
      </w:pPr>
      <w:r>
        <w:rPr>
          <w:noProof/>
        </w:rPr>
        <w:drawing>
          <wp:inline distT="0" distB="0" distL="0" distR="0" wp14:anchorId="4EF54589" wp14:editId="03388680">
            <wp:extent cx="5038725" cy="3114675"/>
            <wp:effectExtent l="0" t="0" r="0" b="0"/>
            <wp:docPr id="150267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4659" name="Picture 1502674659"/>
                    <pic:cNvPicPr/>
                  </pic:nvPicPr>
                  <pic:blipFill>
                    <a:blip r:embed="rId19">
                      <a:extLst>
                        <a:ext uri="{28A0092B-C50C-407E-A947-70E740481C1C}">
                          <a14:useLocalDpi xmlns:a14="http://schemas.microsoft.com/office/drawing/2010/main"/>
                        </a:ext>
                      </a:extLst>
                    </a:blip>
                    <a:stretch>
                      <a:fillRect/>
                    </a:stretch>
                  </pic:blipFill>
                  <pic:spPr>
                    <a:xfrm>
                      <a:off x="0" y="0"/>
                      <a:ext cx="5038725" cy="3114675"/>
                    </a:xfrm>
                    <a:prstGeom prst="rect">
                      <a:avLst/>
                    </a:prstGeom>
                  </pic:spPr>
                </pic:pic>
              </a:graphicData>
            </a:graphic>
          </wp:inline>
        </w:drawing>
      </w:r>
    </w:p>
    <w:p w14:paraId="4966CCD5" w14:textId="238B9F25" w:rsidR="00C43711" w:rsidRDefault="005E627C" w:rsidP="005E627C">
      <w:pPr>
        <w:pStyle w:val="Caption"/>
        <w:jc w:val="center"/>
      </w:pPr>
      <w:bookmarkStart w:id="103" w:name="_Toc230953001"/>
      <w:bookmarkStart w:id="104" w:name="_Toc230961090"/>
      <w:bookmarkStart w:id="105" w:name="_Toc233199115"/>
      <w:r>
        <w:t xml:space="preserve">Figura </w:t>
      </w:r>
      <w:fldSimple w:instr=" SEQ Ilustración \* ARABIC ">
        <w:r w:rsidR="0059770D">
          <w:rPr>
            <w:noProof/>
          </w:rPr>
          <w:t>8</w:t>
        </w:r>
      </w:fldSimple>
      <w:r>
        <w:t xml:space="preserve"> </w:t>
      </w:r>
      <w:r w:rsidRPr="008C61E1">
        <w:t>Distribución del corpus paralelo Inga-español por libro y partición</w:t>
      </w:r>
      <w:bookmarkEnd w:id="103"/>
      <w:bookmarkEnd w:id="104"/>
      <w:bookmarkEnd w:id="105"/>
    </w:p>
    <w:p w14:paraId="07CCEDE2" w14:textId="77777777" w:rsidR="00C43711" w:rsidRDefault="00C43711" w:rsidP="00C43711">
      <w:pPr>
        <w:pStyle w:val="Caption"/>
        <w:jc w:val="center"/>
      </w:pPr>
    </w:p>
    <w:p w14:paraId="7BAA53F5" w14:textId="57C1C9DE" w:rsidR="00636E09" w:rsidRPr="00A1331B" w:rsidRDefault="384FA2C3" w:rsidP="00A1331B">
      <w:pPr>
        <w:pStyle w:val="Piedefoto-tabla"/>
        <w:ind w:left="0"/>
        <w:jc w:val="both"/>
        <w:rPr>
          <w:rFonts w:eastAsia="Calibri" w:cs="Calibri"/>
          <w:iCs w:val="0"/>
          <w:szCs w:val="19"/>
          <w:lang w:val="es-CO"/>
        </w:rPr>
      </w:pPr>
      <w:r>
        <w:rPr>
          <w:rFonts w:eastAsia="Calibri" w:cs="Calibri"/>
          <w:i/>
          <w:szCs w:val="19"/>
          <w:lang w:val="es-CO"/>
        </w:rPr>
        <w:t>Nota. Elaboración propia a partir del Notebook 07. Las tres particiones se generan por shuffle aleatorio con semilla 42 en proporción 80/10/10; la dominancia visual de Lucas, Hechos y Mateo refleja el desbalance natural del Nuevo Testamento, donde estos tres libros concentran el 41% de los versículos del canon.</w:t>
      </w:r>
    </w:p>
    <w:p w14:paraId="5063E2C7" w14:textId="3BE90EC8" w:rsidR="00C43711" w:rsidRDefault="00C43711" w:rsidP="00C43711">
      <w:pPr>
        <w:pStyle w:val="Caption"/>
        <w:keepNext/>
      </w:pPr>
      <w:bookmarkStart w:id="106" w:name="_Toc230952647"/>
      <w:bookmarkStart w:id="107" w:name="_Toc233199124"/>
      <w:r>
        <w:t xml:space="preserve">Tabla </w:t>
      </w:r>
      <w:fldSimple w:instr=" SEQ Tabla \* ARABIC ">
        <w:r w:rsidR="0059770D">
          <w:rPr>
            <w:noProof/>
          </w:rPr>
          <w:t>6</w:t>
        </w:r>
      </w:fldSimple>
      <w:r>
        <w:t xml:space="preserve"> </w:t>
      </w:r>
      <w:r w:rsidRPr="00683BFA">
        <w:t xml:space="preserve">Distribución del corpus paralelo </w:t>
      </w:r>
      <w:proofErr w:type="spellStart"/>
      <w:r w:rsidRPr="00683BFA">
        <w:t>train</w:t>
      </w:r>
      <w:proofErr w:type="spellEnd"/>
      <w:r w:rsidRPr="00683BFA">
        <w:t>/val/test por dialecto</w:t>
      </w:r>
      <w:bookmarkEnd w:id="106"/>
      <w:bookmarkEnd w:id="107"/>
    </w:p>
    <w:tbl>
      <w:tblPr>
        <w:tblStyle w:val="GridTable4-Accent1"/>
        <w:tblW w:w="0" w:type="auto"/>
        <w:tblLook w:val="04A0" w:firstRow="1" w:lastRow="0" w:firstColumn="1" w:lastColumn="0" w:noHBand="0" w:noVBand="1"/>
      </w:tblPr>
      <w:tblGrid>
        <w:gridCol w:w="2265"/>
        <w:gridCol w:w="2265"/>
        <w:gridCol w:w="2265"/>
        <w:gridCol w:w="2265"/>
      </w:tblGrid>
      <w:tr w:rsidR="3DB4A857" w14:paraId="5E63895D"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22FFC10A" w14:textId="77777777" w:rsidR="3DB4A857" w:rsidRDefault="3DB4A857" w:rsidP="3DB4A857">
            <w:pPr>
              <w:rPr>
                <w:rFonts w:ascii="Calibri" w:eastAsia="Calibri" w:hAnsi="Calibri" w:cs="Calibri"/>
              </w:rPr>
            </w:pPr>
            <w:r w:rsidRPr="3DB4A857">
              <w:rPr>
                <w:rFonts w:ascii="Calibri" w:eastAsia="Calibri" w:hAnsi="Calibri" w:cs="Calibri"/>
              </w:rPr>
              <w:t>Partición</w:t>
            </w:r>
          </w:p>
        </w:tc>
        <w:tc>
          <w:tcPr>
            <w:tcW w:w="2265" w:type="dxa"/>
          </w:tcPr>
          <w:p w14:paraId="489D60D1"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(Alto Putumayo)</w:t>
            </w:r>
          </w:p>
        </w:tc>
        <w:tc>
          <w:tcPr>
            <w:tcW w:w="2265" w:type="dxa"/>
          </w:tcPr>
          <w:p w14:paraId="58981701"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MP (Medio Putumayo)</w:t>
            </w:r>
          </w:p>
        </w:tc>
        <w:tc>
          <w:tcPr>
            <w:tcW w:w="2265" w:type="dxa"/>
          </w:tcPr>
          <w:p w14:paraId="5DB75C79"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Total</w:t>
            </w:r>
          </w:p>
        </w:tc>
      </w:tr>
      <w:tr w:rsidR="3DB4A857" w14:paraId="4B39F2F3"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2B9994D8" w14:textId="77777777" w:rsidR="3DB4A857" w:rsidRDefault="3DB4A857" w:rsidP="3DB4A857">
            <w:pPr>
              <w:rPr>
                <w:rFonts w:ascii="Calibri" w:eastAsia="Calibri" w:hAnsi="Calibri" w:cs="Calibri"/>
              </w:rPr>
            </w:pPr>
            <w:r w:rsidRPr="3DB4A857">
              <w:rPr>
                <w:rFonts w:ascii="Calibri" w:eastAsia="Calibri" w:hAnsi="Calibri" w:cs="Calibri"/>
              </w:rPr>
              <w:t>Train</w:t>
            </w:r>
          </w:p>
        </w:tc>
        <w:tc>
          <w:tcPr>
            <w:tcW w:w="2265" w:type="dxa"/>
          </w:tcPr>
          <w:p w14:paraId="3DEFF71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4.471</w:t>
            </w:r>
          </w:p>
        </w:tc>
        <w:tc>
          <w:tcPr>
            <w:tcW w:w="2265" w:type="dxa"/>
          </w:tcPr>
          <w:p w14:paraId="39E5FD6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4738058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4.471</w:t>
            </w:r>
          </w:p>
        </w:tc>
      </w:tr>
      <w:tr w:rsidR="3DB4A857" w14:paraId="7DEB4442"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092A305E" w14:textId="77777777" w:rsidR="3DB4A857" w:rsidRDefault="3DB4A857" w:rsidP="3DB4A857">
            <w:pPr>
              <w:rPr>
                <w:rFonts w:ascii="Calibri" w:eastAsia="Calibri" w:hAnsi="Calibri" w:cs="Calibri"/>
              </w:rPr>
            </w:pPr>
            <w:r w:rsidRPr="3DB4A857">
              <w:rPr>
                <w:rFonts w:ascii="Calibri" w:eastAsia="Calibri" w:hAnsi="Calibri" w:cs="Calibri"/>
              </w:rPr>
              <w:t>Val</w:t>
            </w:r>
          </w:p>
        </w:tc>
        <w:tc>
          <w:tcPr>
            <w:tcW w:w="2265" w:type="dxa"/>
          </w:tcPr>
          <w:p w14:paraId="328E42B1"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558</w:t>
            </w:r>
          </w:p>
        </w:tc>
        <w:tc>
          <w:tcPr>
            <w:tcW w:w="2265" w:type="dxa"/>
          </w:tcPr>
          <w:p w14:paraId="16A1512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45B2F84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558</w:t>
            </w:r>
          </w:p>
        </w:tc>
      </w:tr>
      <w:tr w:rsidR="3DB4A857" w14:paraId="26A49F97"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45A685F9" w14:textId="77777777" w:rsidR="3DB4A857" w:rsidRDefault="3DB4A857" w:rsidP="3DB4A857">
            <w:pPr>
              <w:rPr>
                <w:rFonts w:ascii="Calibri" w:eastAsia="Calibri" w:hAnsi="Calibri" w:cs="Calibri"/>
              </w:rPr>
            </w:pPr>
            <w:r w:rsidRPr="3DB4A857">
              <w:rPr>
                <w:rFonts w:ascii="Calibri" w:eastAsia="Calibri" w:hAnsi="Calibri" w:cs="Calibri"/>
              </w:rPr>
              <w:t>Test</w:t>
            </w:r>
          </w:p>
        </w:tc>
        <w:tc>
          <w:tcPr>
            <w:tcW w:w="2265" w:type="dxa"/>
          </w:tcPr>
          <w:p w14:paraId="206E6DD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560</w:t>
            </w:r>
          </w:p>
        </w:tc>
        <w:tc>
          <w:tcPr>
            <w:tcW w:w="2265" w:type="dxa"/>
          </w:tcPr>
          <w:p w14:paraId="47777B8F"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4DCC033A"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560</w:t>
            </w:r>
          </w:p>
        </w:tc>
      </w:tr>
      <w:tr w:rsidR="3DB4A857" w14:paraId="7BA8DB9C"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148B1D54" w14:textId="77777777" w:rsidR="3DB4A857" w:rsidRDefault="3DB4A857" w:rsidP="3DB4A857">
            <w:pPr>
              <w:rPr>
                <w:rFonts w:ascii="Calibri" w:eastAsia="Calibri" w:hAnsi="Calibri" w:cs="Calibri"/>
              </w:rPr>
            </w:pPr>
            <w:r>
              <w:rPr>
                <w:rFonts w:ascii="Calibri" w:eastAsia="Calibri" w:hAnsi="Calibri" w:cs="Calibri"/>
              </w:rPr>
              <w:t>Total</w:t>
            </w:r>
          </w:p>
        </w:tc>
        <w:tc>
          <w:tcPr>
            <w:tcW w:w="2265" w:type="dxa"/>
          </w:tcPr>
          <w:p w14:paraId="37F0DF3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5.589</w:t>
            </w:r>
          </w:p>
        </w:tc>
        <w:tc>
          <w:tcPr>
            <w:tcW w:w="2265" w:type="dxa"/>
          </w:tcPr>
          <w:p w14:paraId="2EAFB6DE"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0</w:t>
            </w:r>
          </w:p>
        </w:tc>
        <w:tc>
          <w:tcPr>
            <w:tcW w:w="2265" w:type="dxa"/>
          </w:tcPr>
          <w:p w14:paraId="2607287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5.589</w:t>
            </w:r>
          </w:p>
        </w:tc>
      </w:tr>
    </w:tbl>
    <w:p w14:paraId="17FDE337"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 Elaboración propia. La columna MP queda en cero porque la alineación de Antihua Pacay se posterga a la Entrega Final como se explica en la sección 4.2.4.</w:t>
      </w:r>
    </w:p>
    <w:p w14:paraId="02026BE8"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08" w:name="_Toc233199092"/>
      <w:r>
        <w:rPr>
          <w:rFonts w:ascii="Calibri Light" w:eastAsia="Calibri Light" w:hAnsi="Calibri Light" w:cs="Calibri Light"/>
          <w:b w:val="0"/>
          <w:bCs w:val="0"/>
          <w:color w:val="000000" w:themeColor="text1"/>
          <w:szCs w:val="24"/>
        </w:rPr>
        <w:lastRenderedPageBreak/>
        <w:t>4.2.6 Material descartado y sus razones</w:t>
      </w:r>
      <w:bookmarkEnd w:id="108"/>
    </w:p>
    <w:p w14:paraId="31F25C3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No todo el material que se procesó entró en el corpus final. Dos fuentes se trabajaron hasta una fase avanzada y luego se dejaron fuera, y vale la pena dejar constancia de por qué: las decisiones de exclusión delimitan el alcance del trabajo y evitan que el lector suponga una cobertura que el corpus no tiene.</w:t>
      </w:r>
    </w:p>
    <w:p w14:paraId="39C8F8B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primer descarte fue el Antiguo Testamento. A partir de la misma fuente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se extrajeron y estructuraron 794 versículos del Antiguo Testamento en Inga (Notebook 12), y se intentó alinearlos con la Reina-Valera 1909 siguiendo el mismo procedimiento canónico que funcionó con el Nuevo Testamento. El proceso produjo 399 pares candidatos (Notebook 13), pero la alineación resultó poco fiable y el material se mantuvo como exploratorio, sin incorporarlo al corpus de entrenamiento ni de evaluación. La consecuencia práctica es que el sistema se entrena y se mide únicamente sobre Nuevo Testamento y la Constitución, y no cubre el registro del Antiguo Testamento.</w:t>
      </w:r>
    </w:p>
    <w:p w14:paraId="6DFA2E37"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segundo descarte fue la cartilla narrativa </w:t>
      </w:r>
      <w:proofErr w:type="spellStart"/>
      <w:r w:rsidRPr="00A1331B">
        <w:rPr>
          <w:rFonts w:ascii="Calibri" w:eastAsia="Calibri" w:hAnsi="Calibri" w:cs="Calibri"/>
          <w:color w:val="000000" w:themeColor="text1"/>
        </w:rPr>
        <w:t>Antihua</w:t>
      </w:r>
      <w:proofErr w:type="spellEnd"/>
      <w:r w:rsidRPr="00A1331B">
        <w:rPr>
          <w:rFonts w:ascii="Calibri" w:eastAsia="Calibri" w:hAnsi="Calibri" w:cs="Calibri"/>
          <w:color w:val="000000" w:themeColor="text1"/>
        </w:rPr>
        <w:t xml:space="preserve"> Pacay, un material valioso por dos razones: es del dialecto Medio Putumayo, ausente en el resto del corpus, y es narrativa tradicional, no traducción bíblica. El problema fue estructural. De los 284 párrafos detectados en la cartilla, solo 4 admitían una alineación limpia bloque a bloque entre el Inga y su versión en español. Forzar la correspondencia produjo 86 pares (Notebook 06), pero de calidad demasiado baja para entrenar, porque la narrativa libre no respeta la correspondencia oración a oración que sí ofrece el texto bíblico </w:t>
      </w:r>
      <w:proofErr w:type="spellStart"/>
      <w:r w:rsidRPr="00A1331B">
        <w:rPr>
          <w:rFonts w:ascii="Calibri" w:eastAsia="Calibri" w:hAnsi="Calibri" w:cs="Calibri"/>
          <w:color w:val="000000" w:themeColor="text1"/>
        </w:rPr>
        <w:t>versiculado</w:t>
      </w:r>
      <w:proofErr w:type="spellEnd"/>
      <w:r w:rsidRPr="00A1331B">
        <w:rPr>
          <w:rFonts w:ascii="Calibri" w:eastAsia="Calibri" w:hAnsi="Calibri" w:cs="Calibri"/>
          <w:color w:val="000000" w:themeColor="text1"/>
        </w:rPr>
        <w:t xml:space="preserve">. Se decidió dejarla fuera del entrenamiento. Este resultado negativo es informativo: confirma que la estrategia de alineación canónica, eficaz con material </w:t>
      </w:r>
      <w:proofErr w:type="spellStart"/>
      <w:r w:rsidRPr="00A1331B">
        <w:rPr>
          <w:rFonts w:ascii="Calibri" w:eastAsia="Calibri" w:hAnsi="Calibri" w:cs="Calibri"/>
          <w:color w:val="000000" w:themeColor="text1"/>
        </w:rPr>
        <w:t>versiculado</w:t>
      </w:r>
      <w:proofErr w:type="spellEnd"/>
      <w:r w:rsidRPr="00A1331B">
        <w:rPr>
          <w:rFonts w:ascii="Calibri" w:eastAsia="Calibri" w:hAnsi="Calibri" w:cs="Calibri"/>
          <w:color w:val="000000" w:themeColor="text1"/>
        </w:rPr>
        <w:t xml:space="preserve">, no se traslada sin más a la prosa narrativa, y motiva de forma directa la línea de trabajo futuro sobre un alineador semántico basado en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multilingües, que no depende de la coincidencia estructural.</w:t>
      </w:r>
    </w:p>
    <w:p w14:paraId="31CBD47D"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Ambos descartes apuntan al mismo cuello de botella del proyecto: la escasez de material Inga con estructura paralela explotable. Hay texto Inga disponible, pero convertirlo en pares de traducción fiables exige o bien una correspondencia canónica previa, como la </w:t>
      </w:r>
      <w:proofErr w:type="spellStart"/>
      <w:r w:rsidRPr="00A1331B">
        <w:rPr>
          <w:rFonts w:ascii="Calibri" w:eastAsia="Calibri" w:hAnsi="Calibri" w:cs="Calibri"/>
          <w:color w:val="000000" w:themeColor="text1"/>
        </w:rPr>
        <w:t>versiculación</w:t>
      </w:r>
      <w:proofErr w:type="spellEnd"/>
      <w:r w:rsidRPr="00A1331B">
        <w:rPr>
          <w:rFonts w:ascii="Calibri" w:eastAsia="Calibri" w:hAnsi="Calibri" w:cs="Calibri"/>
          <w:color w:val="000000" w:themeColor="text1"/>
        </w:rPr>
        <w:t xml:space="preserve"> bíblica, o bien una alineación semántica que este trabajo deja planteada pero no implementa.</w:t>
      </w:r>
    </w:p>
    <w:p w14:paraId="73A39773" w14:textId="77777777" w:rsidR="00636E09" w:rsidRPr="007052CF" w:rsidRDefault="384FA2C3" w:rsidP="3DB4A857">
      <w:pPr>
        <w:pStyle w:val="Heading2"/>
        <w:numPr>
          <w:ilvl w:val="0"/>
          <w:numId w:val="0"/>
        </w:numPr>
        <w:rPr>
          <w:rFonts w:ascii="Calibri Light" w:eastAsia="Calibri Light" w:hAnsi="Calibri Light" w:cs="Calibri Light"/>
          <w:bCs w:val="0"/>
          <w:iCs w:val="0"/>
          <w:lang w:val="es-CO"/>
        </w:rPr>
      </w:pPr>
      <w:bookmarkStart w:id="109" w:name="_Toc230950279"/>
      <w:bookmarkStart w:id="110" w:name="_Toc233199093"/>
      <w:r w:rsidRPr="3DB4A857">
        <w:rPr>
          <w:rFonts w:ascii="Calibri Light" w:eastAsia="Calibri Light" w:hAnsi="Calibri Light" w:cs="Calibri Light"/>
          <w:bCs w:val="0"/>
          <w:iCs w:val="0"/>
        </w:rPr>
        <w:lastRenderedPageBreak/>
        <w:t>4.3 Base de conocimiento e indexación vectorial</w:t>
      </w:r>
      <w:bookmarkEnd w:id="109"/>
      <w:bookmarkEnd w:id="110"/>
    </w:p>
    <w:p w14:paraId="65F6010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sistema de recuperación aumentada del eje LLM se sustenta en tres índices vectoriales independientes alojados en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La elección de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como motor de almacenamiento se debe a tres consideraciones: es una base de datos vectorial </w:t>
      </w:r>
      <w:proofErr w:type="spellStart"/>
      <w:r w:rsidRPr="00A1331B">
        <w:rPr>
          <w:rFonts w:ascii="Calibri" w:eastAsia="Calibri" w:hAnsi="Calibri" w:cs="Calibri"/>
          <w:i/>
          <w:iCs/>
          <w:color w:val="000000" w:themeColor="text1"/>
        </w:rPr>
        <w:t>embedded</w:t>
      </w:r>
      <w:proofErr w:type="spellEnd"/>
      <w:r w:rsidRPr="00A1331B">
        <w:rPr>
          <w:rFonts w:ascii="Calibri" w:eastAsia="Calibri" w:hAnsi="Calibri" w:cs="Calibri"/>
          <w:color w:val="000000" w:themeColor="text1"/>
        </w:rPr>
        <w:t xml:space="preserve">, sin servicio externo ni clave de API, lo que mantiene la reproducibilidad y elimina costos recurrentes; usa un formato columnar inspeccionable directamente con herramientas de análisis de datos; y maneja sin sobrecarga el volumen estimado del proyecto, del orden de diez mil vectores. Los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se calculan con </w:t>
      </w:r>
      <w:r w:rsidRPr="00A1331B">
        <w:rPr>
          <w:rFonts w:ascii="Consolas" w:eastAsia="Consolas" w:hAnsi="Consolas" w:cs="Consolas"/>
          <w:color w:val="000000" w:themeColor="text1"/>
        </w:rPr>
        <w:t>gemini-embedding-001</w:t>
      </w:r>
      <w:r w:rsidRPr="00A1331B">
        <w:rPr>
          <w:rFonts w:ascii="Calibri" w:eastAsia="Calibri" w:hAnsi="Calibri" w:cs="Calibri"/>
          <w:color w:val="000000" w:themeColor="text1"/>
        </w:rPr>
        <w:t xml:space="preserve">, configurado con </w:t>
      </w:r>
      <w:proofErr w:type="spellStart"/>
      <w:r w:rsidRPr="00A1331B">
        <w:rPr>
          <w:rFonts w:ascii="Consolas" w:eastAsia="Consolas" w:hAnsi="Consolas" w:cs="Consolas"/>
          <w:color w:val="000000" w:themeColor="text1"/>
        </w:rPr>
        <w:t>output_dimensionality</w:t>
      </w:r>
      <w:proofErr w:type="spellEnd"/>
      <w:r w:rsidRPr="00A1331B">
        <w:rPr>
          <w:rFonts w:ascii="Consolas" w:eastAsia="Consolas" w:hAnsi="Consolas" w:cs="Consolas"/>
          <w:color w:val="000000" w:themeColor="text1"/>
        </w:rPr>
        <w:t>=768</w:t>
      </w:r>
      <w:r w:rsidRPr="00A1331B">
        <w:rPr>
          <w:rFonts w:ascii="Calibri" w:eastAsia="Calibri" w:hAnsi="Calibri" w:cs="Calibri"/>
          <w:color w:val="000000" w:themeColor="text1"/>
        </w:rPr>
        <w:t xml:space="preserve"> para reducir el espacio de almacenamiento sin pérdida material de calidad, e implementan reintento exponencial con </w:t>
      </w:r>
      <w:proofErr w:type="spellStart"/>
      <w:r w:rsidRPr="00A1331B">
        <w:rPr>
          <w:rFonts w:ascii="Calibri" w:eastAsia="Calibri" w:hAnsi="Calibri" w:cs="Calibri"/>
          <w:color w:val="000000" w:themeColor="text1"/>
        </w:rPr>
        <w:t>throttling</w:t>
      </w:r>
      <w:proofErr w:type="spellEnd"/>
      <w:r w:rsidRPr="00A1331B">
        <w:rPr>
          <w:rFonts w:ascii="Calibri" w:eastAsia="Calibri" w:hAnsi="Calibri" w:cs="Calibri"/>
          <w:color w:val="000000" w:themeColor="text1"/>
        </w:rPr>
        <w:t xml:space="preserve"> de 1,2 segundos entre lotes de 50 textos para respetar el límite de 3.000 peticiones por minuto del </w:t>
      </w:r>
      <w:proofErr w:type="spellStart"/>
      <w:r w:rsidRPr="00A1331B">
        <w:rPr>
          <w:rFonts w:ascii="Calibri" w:eastAsia="Calibri" w:hAnsi="Calibri" w:cs="Calibri"/>
          <w:i/>
          <w:iCs/>
          <w:color w:val="000000" w:themeColor="text1"/>
        </w:rPr>
        <w:t>tier</w:t>
      </w:r>
      <w:proofErr w:type="spellEnd"/>
      <w:r w:rsidRPr="00A1331B">
        <w:rPr>
          <w:rFonts w:ascii="Calibri" w:eastAsia="Calibri" w:hAnsi="Calibri" w:cs="Calibri"/>
          <w:color w:val="000000" w:themeColor="text1"/>
        </w:rPr>
        <w:t xml:space="preserve"> de pago de la API.</w:t>
      </w:r>
    </w:p>
    <w:p w14:paraId="299232C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léxico</w:t>
      </w:r>
      <w:r w:rsidRPr="00A1331B">
        <w:rPr>
          <w:rFonts w:ascii="Calibri" w:eastAsia="Calibri" w:hAnsi="Calibri" w:cs="Calibri"/>
          <w:color w:val="000000" w:themeColor="text1"/>
        </w:rPr>
        <w:t xml:space="preserve"> se construye en el Notebook 08 a partir del </w:t>
      </w:r>
      <w:r w:rsidRPr="00A1331B">
        <w:rPr>
          <w:rFonts w:ascii="Calibri" w:eastAsia="Calibri" w:hAnsi="Calibri" w:cs="Calibri"/>
          <w:i/>
          <w:iCs/>
          <w:color w:val="000000" w:themeColor="text1"/>
        </w:rPr>
        <w:t>Diccionario Inga</w:t>
      </w:r>
      <w:r w:rsidRPr="00A1331B">
        <w:rPr>
          <w:rFonts w:ascii="Calibri" w:eastAsia="Calibri" w:hAnsi="Calibri" w:cs="Calibri"/>
          <w:color w:val="000000" w:themeColor="text1"/>
        </w:rPr>
        <w:t xml:space="preserve">. La extracción original del proyecto recuperaba sólo el lema y la categoría gramatical de cada entrada, perdiendo la glosa en español. 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de este trabajo recupera las definiciones completas, incluyendo marcadores dialectales y referencias cruzadas, y produce 4.900 entradas estructuradas. Cada entrada se indexa con la composición </w:t>
      </w:r>
      <w:r w:rsidRPr="00A1331B">
        <w:rPr>
          <w:rFonts w:ascii="Consolas" w:eastAsia="Consolas" w:hAnsi="Consolas" w:cs="Consolas"/>
          <w:color w:val="000000" w:themeColor="text1"/>
        </w:rPr>
        <w:t>lema (categoría): glosa</w:t>
      </w:r>
      <w:r w:rsidRPr="00A1331B">
        <w:rPr>
          <w:rFonts w:ascii="Calibri" w:eastAsia="Calibri" w:hAnsi="Calibri" w:cs="Calibri"/>
          <w:color w:val="000000" w:themeColor="text1"/>
        </w:rPr>
        <w:t xml:space="preserve"> para que el </w:t>
      </w:r>
      <w:proofErr w:type="spellStart"/>
      <w:r w:rsidRPr="00A1331B">
        <w:rPr>
          <w:rFonts w:ascii="Calibri" w:eastAsia="Calibri" w:hAnsi="Calibri" w:cs="Calibri"/>
          <w:color w:val="000000" w:themeColor="text1"/>
        </w:rPr>
        <w:t>embedding</w:t>
      </w:r>
      <w:proofErr w:type="spellEnd"/>
      <w:r w:rsidRPr="00A1331B">
        <w:rPr>
          <w:rFonts w:ascii="Calibri" w:eastAsia="Calibri" w:hAnsi="Calibri" w:cs="Calibri"/>
          <w:color w:val="000000" w:themeColor="text1"/>
        </w:rPr>
        <w:t xml:space="preserve"> capture simultáneamente la palabra Inga y su semántica castellana.</w:t>
      </w:r>
    </w:p>
    <w:p w14:paraId="68B1B4F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gramatical</w:t>
      </w:r>
      <w:r w:rsidRPr="00A1331B">
        <w:rPr>
          <w:rFonts w:ascii="Calibri" w:eastAsia="Calibri" w:hAnsi="Calibri" w:cs="Calibri"/>
          <w:color w:val="000000" w:themeColor="text1"/>
        </w:rPr>
        <w:t xml:space="preserve"> se construye a partir de la </w:t>
      </w:r>
      <w:r w:rsidRPr="00A1331B">
        <w:rPr>
          <w:rFonts w:ascii="Calibri" w:eastAsia="Calibri" w:hAnsi="Calibri" w:cs="Calibri"/>
          <w:i/>
          <w:iCs/>
          <w:color w:val="000000" w:themeColor="text1"/>
        </w:rPr>
        <w:t>Gramática Pedagógica del Inga</w:t>
      </w:r>
      <w:r w:rsidRPr="00A1331B">
        <w:rPr>
          <w:rFonts w:ascii="Calibri" w:eastAsia="Calibri" w:hAnsi="Calibri" w:cs="Calibri"/>
          <w:color w:val="000000" w:themeColor="text1"/>
        </w:rPr>
        <w:t xml:space="preserve"> de Levinsohn y del apéndice morfosintáctico Rosetta, segmentando los documentos en bloques de párrafo con al menos treinta palabras y descartando líneas residuales del OCR (numeración de páginas, encabezados sueltos). El resultado son 560 </w:t>
      </w:r>
      <w:proofErr w:type="spellStart"/>
      <w:r w:rsidRPr="00A1331B">
        <w:rPr>
          <w:rFonts w:ascii="Calibri" w:eastAsia="Calibri" w:hAnsi="Calibri" w:cs="Calibri"/>
          <w:color w:val="000000" w:themeColor="text1"/>
        </w:rPr>
        <w:t>chunks</w:t>
      </w:r>
      <w:proofErr w:type="spellEnd"/>
      <w:r w:rsidRPr="00A1331B">
        <w:rPr>
          <w:rFonts w:ascii="Calibri" w:eastAsia="Calibri" w:hAnsi="Calibri" w:cs="Calibri"/>
          <w:color w:val="000000" w:themeColor="text1"/>
        </w:rPr>
        <w:t xml:space="preserve"> de la gramática y 45 del apéndice, un total de 605 unidades de conocimiento gramatical.</w:t>
      </w:r>
    </w:p>
    <w:p w14:paraId="0478FB19"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de ejemplos</w:t>
      </w:r>
      <w:r w:rsidRPr="00A1331B">
        <w:rPr>
          <w:rFonts w:ascii="Calibri" w:eastAsia="Calibri" w:hAnsi="Calibri" w:cs="Calibri"/>
          <w:color w:val="000000" w:themeColor="text1"/>
        </w:rPr>
        <w:t xml:space="preserve"> indexa los 4.471 pares del </w:t>
      </w:r>
      <w:proofErr w:type="spellStart"/>
      <w:r w:rsidRPr="00A1331B">
        <w:rPr>
          <w:rFonts w:ascii="Calibri" w:eastAsia="Calibri" w:hAnsi="Calibri" w:cs="Calibri"/>
          <w:i/>
          <w:iCs/>
          <w:color w:val="000000" w:themeColor="text1"/>
        </w:rPr>
        <w:t>split</w:t>
      </w:r>
      <w:proofErr w:type="spellEnd"/>
      <w:r w:rsidRPr="00A1331B">
        <w:rPr>
          <w:rFonts w:ascii="Calibri" w:eastAsia="Calibri" w:hAnsi="Calibri" w:cs="Calibri"/>
          <w:color w:val="000000" w:themeColor="text1"/>
        </w:rPr>
        <w:t xml:space="preserve"> de entrenamiento por el texto Inga, devolviendo en la consulta también la traducción al español para inyectarla como ejemplo </w:t>
      </w:r>
      <w:proofErr w:type="spellStart"/>
      <w:r w:rsidRPr="00A1331B">
        <w:rPr>
          <w:rFonts w:ascii="Calibri" w:eastAsia="Calibri" w:hAnsi="Calibri" w:cs="Calibri"/>
          <w:i/>
          <w:iCs/>
          <w:color w:val="000000" w:themeColor="text1"/>
        </w:rPr>
        <w:t>few-shot</w:t>
      </w:r>
      <w:proofErr w:type="spellEnd"/>
      <w:r w:rsidRPr="00A1331B">
        <w:rPr>
          <w:rFonts w:ascii="Calibri" w:eastAsia="Calibri" w:hAnsi="Calibri" w:cs="Calibri"/>
          <w:color w:val="000000" w:themeColor="text1"/>
        </w:rPr>
        <w:t xml:space="preserve"> en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del modelo de lenguaje de frontera. Para soportar la traducción en dirección inversa, español a Inga, se construye adicionalmente un cuarto índice (</w:t>
      </w:r>
      <w:proofErr w:type="spellStart"/>
      <w:r w:rsidRPr="00A1331B">
        <w:rPr>
          <w:rFonts w:ascii="Consolas" w:eastAsia="Consolas" w:hAnsi="Consolas" w:cs="Consolas"/>
          <w:color w:val="000000" w:themeColor="text1"/>
        </w:rPr>
        <w:t>ejemplos_es</w:t>
      </w:r>
      <w:proofErr w:type="spellEnd"/>
      <w:r w:rsidRPr="00A1331B">
        <w:rPr>
          <w:rFonts w:ascii="Calibri" w:eastAsia="Calibri" w:hAnsi="Calibri" w:cs="Calibri"/>
          <w:color w:val="000000" w:themeColor="text1"/>
        </w:rPr>
        <w:t xml:space="preserve">) con los mismos </w:t>
      </w:r>
      <w:proofErr w:type="gramStart"/>
      <w:r w:rsidRPr="00A1331B">
        <w:rPr>
          <w:rFonts w:ascii="Calibri" w:eastAsia="Calibri" w:hAnsi="Calibri" w:cs="Calibri"/>
          <w:color w:val="000000" w:themeColor="text1"/>
        </w:rPr>
        <w:t>pares</w:t>
      </w:r>
      <w:proofErr w:type="gramEnd"/>
      <w:r w:rsidRPr="00A1331B">
        <w:rPr>
          <w:rFonts w:ascii="Calibri" w:eastAsia="Calibri" w:hAnsi="Calibri" w:cs="Calibri"/>
          <w:color w:val="000000" w:themeColor="text1"/>
        </w:rPr>
        <w:t xml:space="preserve"> pero indexados por el texto español. Esta duplicación </w:t>
      </w:r>
      <w:r w:rsidRPr="00A1331B">
        <w:rPr>
          <w:rFonts w:ascii="Calibri" w:eastAsia="Calibri" w:hAnsi="Calibri" w:cs="Calibri"/>
          <w:color w:val="000000" w:themeColor="text1"/>
        </w:rPr>
        <w:lastRenderedPageBreak/>
        <w:t xml:space="preserve">es necesaria porque la similitud vectorial se calcula sobre el texto de la </w:t>
      </w:r>
      <w:proofErr w:type="spellStart"/>
      <w:r w:rsidRPr="00A1331B">
        <w:rPr>
          <w:rFonts w:ascii="Calibri" w:eastAsia="Calibri" w:hAnsi="Calibri" w:cs="Calibri"/>
          <w:i/>
          <w:iCs/>
          <w:color w:val="000000" w:themeColor="text1"/>
        </w:rPr>
        <w:t>query</w:t>
      </w:r>
      <w:proofErr w:type="spellEnd"/>
      <w:r w:rsidRPr="00A1331B">
        <w:rPr>
          <w:rFonts w:ascii="Calibri" w:eastAsia="Calibri" w:hAnsi="Calibri" w:cs="Calibri"/>
          <w:color w:val="000000" w:themeColor="text1"/>
        </w:rPr>
        <w:t>, que debe estar en la lengua de origen.</w:t>
      </w:r>
    </w:p>
    <w:p w14:paraId="30458F80" w14:textId="77777777" w:rsidR="005E627C" w:rsidRDefault="384FA2C3" w:rsidP="00A1331B">
      <w:pPr>
        <w:keepNext/>
        <w:jc w:val="center"/>
      </w:pPr>
      <w:r>
        <w:rPr>
          <w:noProof/>
        </w:rPr>
        <w:drawing>
          <wp:inline distT="0" distB="0" distL="0" distR="0" wp14:anchorId="37BA4069" wp14:editId="79CCF393">
            <wp:extent cx="5038725" cy="2924175"/>
            <wp:effectExtent l="0" t="0" r="0" b="0"/>
            <wp:docPr id="884787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7308" name="Picture 884787308"/>
                    <pic:cNvPicPr/>
                  </pic:nvPicPr>
                  <pic:blipFill>
                    <a:blip r:embed="rId20">
                      <a:extLst>
                        <a:ext uri="{28A0092B-C50C-407E-A947-70E740481C1C}">
                          <a14:useLocalDpi xmlns:a14="http://schemas.microsoft.com/office/drawing/2010/main"/>
                        </a:ext>
                      </a:extLst>
                    </a:blip>
                    <a:stretch>
                      <a:fillRect/>
                    </a:stretch>
                  </pic:blipFill>
                  <pic:spPr>
                    <a:xfrm>
                      <a:off x="0" y="0"/>
                      <a:ext cx="5038725" cy="2924175"/>
                    </a:xfrm>
                    <a:prstGeom prst="rect">
                      <a:avLst/>
                    </a:prstGeom>
                  </pic:spPr>
                </pic:pic>
              </a:graphicData>
            </a:graphic>
          </wp:inline>
        </w:drawing>
      </w:r>
    </w:p>
    <w:p w14:paraId="779EFBC9" w14:textId="080273B9" w:rsidR="00C43711" w:rsidRDefault="005E627C" w:rsidP="005E627C">
      <w:pPr>
        <w:pStyle w:val="Caption"/>
        <w:jc w:val="center"/>
      </w:pPr>
      <w:bookmarkStart w:id="111" w:name="_Toc230953002"/>
      <w:bookmarkStart w:id="112" w:name="_Toc230961091"/>
      <w:bookmarkStart w:id="113" w:name="_Toc233199116"/>
      <w:r>
        <w:t xml:space="preserve">Figura </w:t>
      </w:r>
      <w:fldSimple w:instr=" SEQ Ilustración \* ARABIC ">
        <w:r w:rsidR="0059770D">
          <w:rPr>
            <w:noProof/>
          </w:rPr>
          <w:t>9</w:t>
        </w:r>
      </w:fldSimple>
      <w:r>
        <w:t xml:space="preserve"> </w:t>
      </w:r>
      <w:r w:rsidRPr="004011D2">
        <w:tab/>
        <w:t>Arquitectura del sistema RAG implementado</w:t>
      </w:r>
      <w:bookmarkEnd w:id="111"/>
      <w:bookmarkEnd w:id="112"/>
      <w:bookmarkEnd w:id="113"/>
    </w:p>
    <w:p w14:paraId="292E4981"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 Elaboración propia. El retriever consulta los tres índices en paralelo y devuelve top-k de cada uno. Para la dirección inversa, el índice de ejemplos se conmuta dinámicamente a ejemplos_es.</w:t>
      </w:r>
    </w:p>
    <w:p w14:paraId="6FC69A8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validación cualitativa del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se ejecuta sobre tres </w:t>
      </w:r>
      <w:proofErr w:type="spellStart"/>
      <w:r w:rsidRPr="00A1331B">
        <w:rPr>
          <w:rFonts w:ascii="Calibri" w:eastAsia="Calibri" w:hAnsi="Calibri" w:cs="Calibri"/>
          <w:color w:val="000000" w:themeColor="text1"/>
        </w:rPr>
        <w:t>queries</w:t>
      </w:r>
      <w:proofErr w:type="spellEnd"/>
      <w:r w:rsidRPr="00A1331B">
        <w:rPr>
          <w:rFonts w:ascii="Calibri" w:eastAsia="Calibri" w:hAnsi="Calibri" w:cs="Calibri"/>
          <w:color w:val="000000" w:themeColor="text1"/>
        </w:rPr>
        <w:t xml:space="preserve"> representativas. La palabra </w:t>
      </w:r>
      <w:proofErr w:type="spellStart"/>
      <w:r w:rsidRPr="00A1331B">
        <w:rPr>
          <w:rFonts w:ascii="Consolas" w:eastAsia="Consolas" w:hAnsi="Consolas" w:cs="Consolas"/>
          <w:color w:val="000000" w:themeColor="text1"/>
        </w:rPr>
        <w:t>wasi</w:t>
      </w:r>
      <w:proofErr w:type="spellEnd"/>
      <w:r w:rsidRPr="00A1331B">
        <w:rPr>
          <w:rFonts w:ascii="Calibri" w:eastAsia="Calibri" w:hAnsi="Calibri" w:cs="Calibri"/>
          <w:color w:val="000000" w:themeColor="text1"/>
        </w:rPr>
        <w:t xml:space="preserve"> (casa) recupera del índice léxico las entradas </w:t>
      </w:r>
      <w:r w:rsidRPr="00A1331B">
        <w:rPr>
          <w:rFonts w:ascii="Consolas" w:eastAsia="Consolas" w:hAnsi="Consolas" w:cs="Consolas"/>
          <w:color w:val="000000" w:themeColor="text1"/>
        </w:rPr>
        <w:t xml:space="preserve">casa (s): </w:t>
      </w:r>
      <w:proofErr w:type="spellStart"/>
      <w:r w:rsidRPr="00A1331B">
        <w:rPr>
          <w:rFonts w:ascii="Consolas" w:eastAsia="Consolas" w:hAnsi="Consolas" w:cs="Consolas"/>
          <w:color w:val="000000" w:themeColor="text1"/>
        </w:rPr>
        <w:t>wasi</w:t>
      </w:r>
      <w:proofErr w:type="spellEnd"/>
      <w:r w:rsidRPr="00A1331B">
        <w:rPr>
          <w:rFonts w:ascii="Calibri" w:eastAsia="Calibri" w:hAnsi="Calibri" w:cs="Calibri"/>
          <w:color w:val="000000" w:themeColor="text1"/>
        </w:rPr>
        <w:t xml:space="preserve"> y </w:t>
      </w:r>
      <w:proofErr w:type="spellStart"/>
      <w:r w:rsidRPr="00A1331B">
        <w:rPr>
          <w:rFonts w:ascii="Consolas" w:eastAsia="Consolas" w:hAnsi="Consolas" w:cs="Consolas"/>
          <w:color w:val="000000" w:themeColor="text1"/>
        </w:rPr>
        <w:t>wasi</w:t>
      </w:r>
      <w:proofErr w:type="spellEnd"/>
      <w:r w:rsidRPr="00A1331B">
        <w:rPr>
          <w:rFonts w:ascii="Consolas" w:eastAsia="Consolas" w:hAnsi="Consolas" w:cs="Consolas"/>
          <w:color w:val="000000" w:themeColor="text1"/>
        </w:rPr>
        <w:t xml:space="preserve"> (s): casa</w:t>
      </w:r>
      <w:r w:rsidRPr="00A1331B">
        <w:rPr>
          <w:rFonts w:ascii="Calibri" w:eastAsia="Calibri" w:hAnsi="Calibri" w:cs="Calibri"/>
          <w:color w:val="000000" w:themeColor="text1"/>
        </w:rPr>
        <w:t xml:space="preserve">; del índice gramatical, bloques que explican el uso de </w:t>
      </w:r>
      <w:proofErr w:type="spellStart"/>
      <w:r w:rsidRPr="00A1331B">
        <w:rPr>
          <w:rFonts w:ascii="Consolas" w:eastAsia="Consolas" w:hAnsi="Consolas" w:cs="Consolas"/>
          <w:color w:val="000000" w:themeColor="text1"/>
        </w:rPr>
        <w:t>huasi</w:t>
      </w:r>
      <w:proofErr w:type="spellEnd"/>
      <w:r w:rsidRPr="00A1331B">
        <w:rPr>
          <w:rFonts w:ascii="Calibri" w:eastAsia="Calibri" w:hAnsi="Calibri" w:cs="Calibri"/>
          <w:color w:val="000000" w:themeColor="text1"/>
        </w:rPr>
        <w:t xml:space="preserve"> con sufijos de caso (</w:t>
      </w:r>
      <w:proofErr w:type="spellStart"/>
      <w:r w:rsidRPr="00A1331B">
        <w:rPr>
          <w:rFonts w:ascii="Consolas" w:eastAsia="Consolas" w:hAnsi="Consolas" w:cs="Consolas"/>
          <w:color w:val="000000" w:themeColor="text1"/>
        </w:rPr>
        <w:t>huasi</w:t>
      </w:r>
      <w:proofErr w:type="spellEnd"/>
      <w:r w:rsidRPr="00A1331B">
        <w:rPr>
          <w:rFonts w:ascii="Consolas" w:eastAsia="Consolas" w:hAnsi="Consolas" w:cs="Consolas"/>
          <w:color w:val="000000" w:themeColor="text1"/>
        </w:rPr>
        <w:t xml:space="preserve"> cancha</w:t>
      </w:r>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huasi</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ucu</w:t>
      </w:r>
      <w:proofErr w:type="spellEnd"/>
      <w:r w:rsidRPr="00A1331B">
        <w:rPr>
          <w:rFonts w:ascii="Calibri" w:eastAsia="Calibri" w:hAnsi="Calibri" w:cs="Calibri"/>
          <w:color w:val="000000" w:themeColor="text1"/>
        </w:rPr>
        <w:t xml:space="preserve">); del índice de ejemplos, tres versículos del NT donde aparece la palabra. La consulta </w:t>
      </w:r>
      <w:proofErr w:type="spellStart"/>
      <w:r w:rsidRPr="00A1331B">
        <w:rPr>
          <w:rFonts w:ascii="Consolas" w:eastAsia="Consolas" w:hAnsi="Consolas" w:cs="Consolas"/>
          <w:color w:val="000000" w:themeColor="text1"/>
        </w:rPr>
        <w:t>imasa</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parlangapa</w:t>
      </w:r>
      <w:proofErr w:type="spellEnd"/>
      <w:r w:rsidRPr="00A1331B">
        <w:rPr>
          <w:rFonts w:ascii="Calibri" w:eastAsia="Calibri" w:hAnsi="Calibri" w:cs="Calibri"/>
          <w:color w:val="000000" w:themeColor="text1"/>
        </w:rPr>
        <w:t xml:space="preserve"> (cómo decir) recupera las entradas léxicas </w:t>
      </w:r>
      <w:proofErr w:type="spellStart"/>
      <w:r w:rsidRPr="00A1331B">
        <w:rPr>
          <w:rFonts w:ascii="Consolas" w:eastAsia="Consolas" w:hAnsi="Consolas" w:cs="Consolas"/>
          <w:color w:val="000000" w:themeColor="text1"/>
        </w:rPr>
        <w:t>imasa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y</w:t>
      </w:r>
      <w:proofErr w:type="spellEnd"/>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idioma</w:t>
      </w:r>
      <w:r w:rsidRPr="00A1331B">
        <w:rPr>
          <w:rFonts w:ascii="Calibri" w:eastAsia="Calibri" w:hAnsi="Calibri" w:cs="Calibri"/>
          <w:color w:val="000000" w:themeColor="text1"/>
        </w:rPr>
        <w:t xml:space="preserve"> junto con tres bloques de la gramática que explican el uso de </w:t>
      </w:r>
      <w:proofErr w:type="spellStart"/>
      <w:r w:rsidRPr="00A1331B">
        <w:rPr>
          <w:rFonts w:ascii="Consolas" w:eastAsia="Consolas" w:hAnsi="Consolas" w:cs="Consolas"/>
          <w:color w:val="000000" w:themeColor="text1"/>
        </w:rPr>
        <w:t>imasa</w:t>
      </w:r>
      <w:proofErr w:type="spellEnd"/>
      <w:r w:rsidRPr="00A1331B">
        <w:rPr>
          <w:rFonts w:ascii="Calibri" w:eastAsia="Calibri" w:hAnsi="Calibri" w:cs="Calibri"/>
          <w:color w:val="000000" w:themeColor="text1"/>
        </w:rPr>
        <w:t xml:space="preserve"> como marcador comparativo, además de versículos que ilustran su uso. Una oración completa, </w:t>
      </w:r>
      <w:r w:rsidRPr="00A1331B">
        <w:rPr>
          <w:rFonts w:ascii="Consolas" w:eastAsia="Consolas" w:hAnsi="Consolas" w:cs="Consolas"/>
          <w:color w:val="000000" w:themeColor="text1"/>
        </w:rPr>
        <w:t xml:space="preserve">Taita </w:t>
      </w:r>
      <w:proofErr w:type="spellStart"/>
      <w:r w:rsidRPr="00A1331B">
        <w:rPr>
          <w:rFonts w:ascii="Consolas" w:eastAsia="Consolas" w:hAnsi="Consolas" w:cs="Consolas"/>
          <w:color w:val="000000" w:themeColor="text1"/>
        </w:rPr>
        <w:t>Diuska</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runakunata</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kuianmi</w:t>
      </w:r>
      <w:proofErr w:type="spellEnd"/>
      <w:r w:rsidRPr="00A1331B">
        <w:rPr>
          <w:rFonts w:ascii="Calibri" w:eastAsia="Calibri" w:hAnsi="Calibri" w:cs="Calibri"/>
          <w:color w:val="000000" w:themeColor="text1"/>
        </w:rPr>
        <w:t xml:space="preserve">, recupera entradas léxicas tangenciales (la palabra </w:t>
      </w:r>
      <w:r w:rsidRPr="00A1331B">
        <w:rPr>
          <w:rFonts w:ascii="Consolas" w:eastAsia="Consolas" w:hAnsi="Consolas" w:cs="Consolas"/>
          <w:color w:val="000000" w:themeColor="text1"/>
        </w:rPr>
        <w:t>taita</w:t>
      </w:r>
      <w:r w:rsidRPr="00A1331B">
        <w:rPr>
          <w:rFonts w:ascii="Calibri" w:eastAsia="Calibri" w:hAnsi="Calibri" w:cs="Calibri"/>
          <w:color w:val="000000" w:themeColor="text1"/>
        </w:rPr>
        <w:t xml:space="preserve"> y compuestos relacionados) pero sí encuentra ejemplos paralelos semánticamente cercanos sobre el amor de Dios en las epístolas. Esta asimetría es esperable: la similitud semántica entre una oración completa y una entrada de diccionario es necesariamente baja, y la utilidad real del índice léxico se manifiesta en las traducciones de palabras sueltas.</w:t>
      </w:r>
    </w:p>
    <w:p w14:paraId="3122FD84" w14:textId="77777777" w:rsidR="00636E09" w:rsidRPr="007052CF" w:rsidRDefault="384FA2C3" w:rsidP="3DB4A857">
      <w:pPr>
        <w:pStyle w:val="Heading2"/>
        <w:numPr>
          <w:ilvl w:val="0"/>
          <w:numId w:val="0"/>
        </w:numPr>
        <w:rPr>
          <w:rFonts w:ascii="Calibri Light" w:eastAsia="Calibri Light" w:hAnsi="Calibri Light" w:cs="Calibri Light"/>
          <w:bCs w:val="0"/>
          <w:iCs w:val="0"/>
          <w:lang w:val="es-CO"/>
        </w:rPr>
      </w:pPr>
      <w:bookmarkStart w:id="114" w:name="_Toc230950280"/>
      <w:bookmarkStart w:id="115" w:name="_Toc233199094"/>
      <w:r w:rsidRPr="3DB4A857">
        <w:rPr>
          <w:rFonts w:ascii="Calibri Light" w:eastAsia="Calibri Light" w:hAnsi="Calibri Light" w:cs="Calibri Light"/>
          <w:bCs w:val="0"/>
          <w:iCs w:val="0"/>
        </w:rPr>
        <w:lastRenderedPageBreak/>
        <w:t>4.4 Adaptación de NLLB-200 mediante LoRA bidireccional</w:t>
      </w:r>
      <w:bookmarkEnd w:id="114"/>
      <w:bookmarkEnd w:id="115"/>
    </w:p>
    <w:p w14:paraId="26648DF1"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b/>
          <w:bCs/>
          <w:color w:val="000000" w:themeColor="text1"/>
        </w:rPr>
        <w:t>Contribución de William Santos.</w:t>
      </w:r>
    </w:p>
    <w:p w14:paraId="7AA619FC"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adaptación de </w:t>
      </w:r>
      <w:r w:rsidRPr="00A1331B">
        <w:rPr>
          <w:rFonts w:ascii="Calibri" w:eastAsia="Calibri" w:hAnsi="Calibri" w:cs="Calibri"/>
          <w:b/>
          <w:bCs/>
          <w:color w:val="000000" w:themeColor="text1"/>
        </w:rPr>
        <w:t>NLLB-200-distilled-600M</w:t>
      </w:r>
      <w:r w:rsidRPr="00A1331B">
        <w:rPr>
          <w:rFonts w:ascii="Calibri" w:eastAsia="Calibri" w:hAnsi="Calibri" w:cs="Calibri"/>
          <w:color w:val="000000" w:themeColor="text1"/>
        </w:rPr>
        <w:t xml:space="preserve"> al par Inga-español se ejecutó mediante adaptadores de bajo rango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insertados sobre las proyecciones de consulta y valor (</w:t>
      </w:r>
      <w:proofErr w:type="spellStart"/>
      <w:r w:rsidRPr="00A1331B">
        <w:rPr>
          <w:rFonts w:ascii="Consolas" w:eastAsia="Consolas" w:hAnsi="Consolas" w:cs="Consolas"/>
          <w:color w:val="000000" w:themeColor="text1"/>
        </w:rPr>
        <w:t>q_proj</w:t>
      </w:r>
      <w:proofErr w:type="spellEnd"/>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v_proj</w:t>
      </w:r>
      <w:proofErr w:type="spellEnd"/>
      <w:r w:rsidRPr="00A1331B">
        <w:rPr>
          <w:rFonts w:ascii="Calibri" w:eastAsia="Calibri" w:hAnsi="Calibri" w:cs="Calibri"/>
          <w:color w:val="000000" w:themeColor="text1"/>
        </w:rPr>
        <w:t xml:space="preserve">) de las capas de atención del transformador. El entrenamiento corrió en una sola pasada sobre el corpus paralelo duplicado en ambas direcciones, de modo que un único adaptador sirve para inferir Inga-español o español-Inga según los códigos </w:t>
      </w:r>
      <w:proofErr w:type="spellStart"/>
      <w:r w:rsidRPr="00A1331B">
        <w:rPr>
          <w:rFonts w:ascii="Consolas" w:eastAsia="Consolas" w:hAnsi="Consolas" w:cs="Consolas"/>
          <w:color w:val="000000" w:themeColor="text1"/>
        </w:rPr>
        <w:t>src_lang</w:t>
      </w:r>
      <w:proofErr w:type="spellEnd"/>
      <w:r w:rsidRPr="00A1331B">
        <w:rPr>
          <w:rFonts w:ascii="Calibri" w:eastAsia="Calibri" w:hAnsi="Calibri" w:cs="Calibri"/>
          <w:color w:val="000000" w:themeColor="text1"/>
        </w:rPr>
        <w:t xml:space="preserve"> y </w:t>
      </w:r>
      <w:proofErr w:type="spellStart"/>
      <w:r w:rsidRPr="00A1331B">
        <w:rPr>
          <w:rFonts w:ascii="Consolas" w:eastAsia="Consolas" w:hAnsi="Consolas" w:cs="Consolas"/>
          <w:color w:val="000000" w:themeColor="text1"/>
        </w:rPr>
        <w:t>tgt_lang</w:t>
      </w:r>
      <w:proofErr w:type="spellEnd"/>
      <w:r w:rsidRPr="00A1331B">
        <w:rPr>
          <w:rFonts w:ascii="Calibri" w:eastAsia="Calibri" w:hAnsi="Calibri" w:cs="Calibri"/>
          <w:color w:val="000000" w:themeColor="text1"/>
        </w:rPr>
        <w:t xml:space="preserve"> que se pasen al </w:t>
      </w:r>
      <w:proofErr w:type="spellStart"/>
      <w:r w:rsidRPr="00A1331B">
        <w:rPr>
          <w:rFonts w:ascii="Calibri" w:eastAsia="Calibri" w:hAnsi="Calibri" w:cs="Calibri"/>
          <w:color w:val="000000" w:themeColor="text1"/>
        </w:rPr>
        <w:t>tokenizador</w:t>
      </w:r>
      <w:proofErr w:type="spellEnd"/>
      <w:r w:rsidRPr="00A1331B">
        <w:rPr>
          <w:rFonts w:ascii="Calibri" w:eastAsia="Calibri" w:hAnsi="Calibri" w:cs="Calibri"/>
          <w:color w:val="000000" w:themeColor="text1"/>
        </w:rPr>
        <w:t xml:space="preserve"> en inferencia. La duplicación del corpus de 4.512 a 9.024 ejemplos permitió compartir representaciones entre las dos direcciones sin necesidad de mantener dos adaptadores separados.</w:t>
      </w:r>
    </w:p>
    <w:p w14:paraId="1668B229" w14:textId="0BECA145" w:rsidR="00636E09" w:rsidRPr="00103BEF"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configuración </w:t>
      </w:r>
      <w:proofErr w:type="spellStart"/>
      <w:r w:rsidRPr="00A1331B">
        <w:rPr>
          <w:rFonts w:ascii="Calibri" w:eastAsia="Calibri" w:hAnsi="Calibri" w:cs="Calibri"/>
          <w:color w:val="000000" w:themeColor="text1"/>
        </w:rPr>
        <w:t>hiperparamétrica</w:t>
      </w:r>
      <w:proofErr w:type="spellEnd"/>
      <w:r w:rsidRPr="00A1331B">
        <w:rPr>
          <w:rFonts w:ascii="Calibri" w:eastAsia="Calibri" w:hAnsi="Calibri" w:cs="Calibri"/>
          <w:color w:val="000000" w:themeColor="text1"/>
        </w:rPr>
        <w:t xml:space="preserve"> del entrenamiento se resume en la Tabla 7. La instrumentación utilizó las librerías </w:t>
      </w:r>
      <w:proofErr w:type="spellStart"/>
      <w:r w:rsidRPr="00A1331B">
        <w:rPr>
          <w:rFonts w:ascii="Calibri" w:eastAsia="Calibri" w:hAnsi="Calibri" w:cs="Calibri"/>
          <w:i/>
          <w:iCs/>
          <w:color w:val="000000" w:themeColor="text1"/>
        </w:rPr>
        <w:t>transformers</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i/>
          <w:iCs/>
          <w:color w:val="000000" w:themeColor="text1"/>
        </w:rPr>
        <w:t>peft</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i/>
          <w:iCs/>
          <w:color w:val="000000" w:themeColor="text1"/>
        </w:rPr>
        <w:t>accelerate</w:t>
      </w:r>
      <w:proofErr w:type="spellEnd"/>
      <w:r w:rsidRPr="00A1331B">
        <w:rPr>
          <w:rFonts w:ascii="Calibri" w:eastAsia="Calibri" w:hAnsi="Calibri" w:cs="Calibri"/>
          <w:color w:val="000000" w:themeColor="text1"/>
        </w:rPr>
        <w:t xml:space="preserve"> sobre Python 3.11 con </w:t>
      </w:r>
      <w:proofErr w:type="spellStart"/>
      <w:r w:rsidRPr="00A1331B">
        <w:rPr>
          <w:rFonts w:ascii="Calibri" w:eastAsia="Calibri" w:hAnsi="Calibri" w:cs="Calibri"/>
          <w:color w:val="000000" w:themeColor="text1"/>
        </w:rPr>
        <w:t>backend</w:t>
      </w:r>
      <w:proofErr w:type="spellEnd"/>
      <w:r w:rsidRPr="00A1331B">
        <w:rPr>
          <w:rFonts w:ascii="Calibri" w:eastAsia="Calibri" w:hAnsi="Calibri" w:cs="Calibri"/>
          <w:color w:val="000000" w:themeColor="text1"/>
        </w:rPr>
        <w:t xml:space="preserve"> Metal Performance </w:t>
      </w:r>
      <w:proofErr w:type="spellStart"/>
      <w:r w:rsidRPr="00A1331B">
        <w:rPr>
          <w:rFonts w:ascii="Calibri" w:eastAsia="Calibri" w:hAnsi="Calibri" w:cs="Calibri"/>
          <w:color w:val="000000" w:themeColor="text1"/>
        </w:rPr>
        <w:t>Shaders</w:t>
      </w:r>
      <w:proofErr w:type="spellEnd"/>
      <w:r w:rsidRPr="00A1331B">
        <w:rPr>
          <w:rFonts w:ascii="Calibri" w:eastAsia="Calibri" w:hAnsi="Calibri" w:cs="Calibri"/>
          <w:color w:val="000000" w:themeColor="text1"/>
        </w:rPr>
        <w:t>. El procedimiento completo se documenta en el Notebook 09 del repositorio del proyecto, referenciado en el Anexo A.</w:t>
      </w:r>
    </w:p>
    <w:p w14:paraId="498780CC" w14:textId="77777777" w:rsidR="00636E09" w:rsidRPr="00103BEF" w:rsidRDefault="00636E09" w:rsidP="00C43711">
      <w:pPr>
        <w:jc w:val="left"/>
        <w:rPr>
          <w:rFonts w:ascii="Calibri" w:eastAsia="Calibri" w:hAnsi="Calibri" w:cs="Calibri"/>
          <w:color w:val="000000" w:themeColor="text1"/>
          <w:lang w:val="es-CO"/>
        </w:rPr>
      </w:pPr>
    </w:p>
    <w:p w14:paraId="6E64EAE6" w14:textId="0A009AEC" w:rsidR="00C43711" w:rsidRDefault="00C43711" w:rsidP="00C43711">
      <w:pPr>
        <w:pStyle w:val="Caption"/>
        <w:keepNext/>
      </w:pPr>
      <w:bookmarkStart w:id="116" w:name="_Toc230952648"/>
      <w:bookmarkStart w:id="117" w:name="_Toc233199125"/>
      <w:r>
        <w:t xml:space="preserve">Tabla </w:t>
      </w:r>
      <w:fldSimple w:instr=" SEQ Tabla \* ARABIC ">
        <w:r w:rsidR="0059770D">
          <w:rPr>
            <w:noProof/>
          </w:rPr>
          <w:t>7</w:t>
        </w:r>
      </w:fldSimple>
      <w:r>
        <w:t xml:space="preserve">  </w:t>
      </w:r>
      <w:proofErr w:type="spellStart"/>
      <w:r w:rsidRPr="00D7723A">
        <w:t>Hiperparámetros</w:t>
      </w:r>
      <w:proofErr w:type="spellEnd"/>
      <w:r w:rsidRPr="00D7723A">
        <w:t xml:space="preserve"> del entrenamiento </w:t>
      </w:r>
      <w:proofErr w:type="spellStart"/>
      <w:r w:rsidRPr="00D7723A">
        <w:t>LoRA</w:t>
      </w:r>
      <w:bookmarkEnd w:id="116"/>
      <w:bookmarkEnd w:id="117"/>
      <w:proofErr w:type="spellEnd"/>
    </w:p>
    <w:tbl>
      <w:tblPr>
        <w:tblStyle w:val="GridTable4-Accent1"/>
        <w:tblW w:w="0" w:type="auto"/>
        <w:tblLook w:val="04A0" w:firstRow="1" w:lastRow="0" w:firstColumn="1" w:lastColumn="0" w:noHBand="0" w:noVBand="1"/>
      </w:tblPr>
      <w:tblGrid>
        <w:gridCol w:w="4530"/>
        <w:gridCol w:w="4530"/>
      </w:tblGrid>
      <w:tr w:rsidR="3DB4A857" w14:paraId="05984C83"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0945CC3" w14:textId="77777777" w:rsidR="3DB4A857" w:rsidRDefault="3DB4A857" w:rsidP="3DB4A857">
            <w:pPr>
              <w:rPr>
                <w:rFonts w:ascii="Calibri" w:eastAsia="Calibri" w:hAnsi="Calibri" w:cs="Calibri"/>
              </w:rPr>
            </w:pPr>
            <w:proofErr w:type="spellStart"/>
            <w:r w:rsidRPr="3DB4A857">
              <w:rPr>
                <w:rFonts w:ascii="Calibri" w:eastAsia="Calibri" w:hAnsi="Calibri" w:cs="Calibri"/>
              </w:rPr>
              <w:t>Hiperparámetro</w:t>
            </w:r>
            <w:proofErr w:type="spellEnd"/>
          </w:p>
        </w:tc>
        <w:tc>
          <w:tcPr>
            <w:tcW w:w="4530" w:type="dxa"/>
          </w:tcPr>
          <w:p w14:paraId="46B76B33"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Valor</w:t>
            </w:r>
          </w:p>
        </w:tc>
      </w:tr>
      <w:tr w:rsidR="3DB4A857" w14:paraId="718000D0"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EBBEDEB" w14:textId="77777777" w:rsidR="3DB4A857" w:rsidRDefault="3DB4A857" w:rsidP="3DB4A857">
            <w:pPr>
              <w:rPr>
                <w:rFonts w:ascii="Calibri" w:eastAsia="Calibri" w:hAnsi="Calibri" w:cs="Calibri"/>
              </w:rPr>
            </w:pPr>
            <w:r w:rsidRPr="3DB4A857">
              <w:rPr>
                <w:rFonts w:ascii="Calibri" w:eastAsia="Calibri" w:hAnsi="Calibri" w:cs="Calibri"/>
              </w:rPr>
              <w:t>Modelo base</w:t>
            </w:r>
          </w:p>
        </w:tc>
        <w:tc>
          <w:tcPr>
            <w:tcW w:w="4530" w:type="dxa"/>
          </w:tcPr>
          <w:p w14:paraId="4AA3304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facebook/nllb-200-distilled-600M</w:t>
            </w:r>
          </w:p>
        </w:tc>
      </w:tr>
      <w:tr w:rsidR="3DB4A857" w14:paraId="4029A3AC"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6AC106A" w14:textId="77777777" w:rsidR="3DB4A857" w:rsidRDefault="3DB4A857" w:rsidP="3DB4A857">
            <w:pPr>
              <w:rPr>
                <w:rFonts w:ascii="Calibri" w:eastAsia="Calibri" w:hAnsi="Calibri" w:cs="Calibri"/>
              </w:rPr>
            </w:pPr>
            <w:r w:rsidRPr="3DB4A857">
              <w:rPr>
                <w:rFonts w:ascii="Calibri" w:eastAsia="Calibri" w:hAnsi="Calibri" w:cs="Calibri"/>
              </w:rPr>
              <w:t>Código fuente Inga</w:t>
            </w:r>
          </w:p>
        </w:tc>
        <w:tc>
          <w:tcPr>
            <w:tcW w:w="4530" w:type="dxa"/>
          </w:tcPr>
          <w:p w14:paraId="21FE9F1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quy_Latn (Quechua Ayacucho como transferencia)</w:t>
            </w:r>
          </w:p>
        </w:tc>
      </w:tr>
      <w:tr w:rsidR="3DB4A857" w14:paraId="544F049B"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1878DC6C" w14:textId="77777777" w:rsidR="3DB4A857" w:rsidRDefault="3DB4A857" w:rsidP="3DB4A857">
            <w:pPr>
              <w:rPr>
                <w:rFonts w:ascii="Calibri" w:eastAsia="Calibri" w:hAnsi="Calibri" w:cs="Calibri"/>
              </w:rPr>
            </w:pPr>
            <w:r w:rsidRPr="3DB4A857">
              <w:rPr>
                <w:rFonts w:ascii="Calibri" w:eastAsia="Calibri" w:hAnsi="Calibri" w:cs="Calibri"/>
              </w:rPr>
              <w:t>Código destino español</w:t>
            </w:r>
          </w:p>
        </w:tc>
        <w:tc>
          <w:tcPr>
            <w:tcW w:w="4530" w:type="dxa"/>
          </w:tcPr>
          <w:p w14:paraId="6FACD40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spa_Latn</w:t>
            </w:r>
          </w:p>
        </w:tc>
      </w:tr>
      <w:tr w:rsidR="3DB4A857" w14:paraId="5A36705F"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6709615" w14:textId="77777777" w:rsidR="3DB4A857" w:rsidRDefault="3DB4A857" w:rsidP="3DB4A857">
            <w:pPr>
              <w:rPr>
                <w:rFonts w:ascii="Calibri" w:eastAsia="Calibri" w:hAnsi="Calibri" w:cs="Calibri"/>
              </w:rPr>
            </w:pPr>
            <w:r w:rsidRPr="3DB4A857">
              <w:rPr>
                <w:rFonts w:ascii="Calibri" w:eastAsia="Calibri" w:hAnsi="Calibri" w:cs="Calibri"/>
              </w:rPr>
              <w:t xml:space="preserve">Rango </w:t>
            </w:r>
            <w:proofErr w:type="spellStart"/>
            <w:r w:rsidRPr="3DB4A857">
              <w:rPr>
                <w:rFonts w:ascii="Calibri" w:eastAsia="Calibri" w:hAnsi="Calibri" w:cs="Calibri"/>
              </w:rPr>
              <w:t>LoRA</w:t>
            </w:r>
            <w:proofErr w:type="spellEnd"/>
            <w:r w:rsidRPr="3DB4A857">
              <w:rPr>
                <w:rFonts w:ascii="Calibri" w:eastAsia="Calibri" w:hAnsi="Calibri" w:cs="Calibri"/>
              </w:rPr>
              <w:t xml:space="preserve"> (r)</w:t>
            </w:r>
          </w:p>
        </w:tc>
        <w:tc>
          <w:tcPr>
            <w:tcW w:w="4530" w:type="dxa"/>
          </w:tcPr>
          <w:p w14:paraId="583A936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16</w:t>
            </w:r>
          </w:p>
        </w:tc>
      </w:tr>
      <w:tr w:rsidR="3DB4A857" w14:paraId="71A684DB"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581DA0E" w14:textId="77777777" w:rsidR="3DB4A857" w:rsidRDefault="3DB4A857" w:rsidP="3DB4A857">
            <w:pPr>
              <w:rPr>
                <w:rFonts w:ascii="Calibri" w:eastAsia="Calibri" w:hAnsi="Calibri" w:cs="Calibri"/>
              </w:rPr>
            </w:pPr>
            <w:r w:rsidRPr="3DB4A857">
              <w:rPr>
                <w:rFonts w:ascii="Calibri" w:eastAsia="Calibri" w:hAnsi="Calibri" w:cs="Calibri"/>
              </w:rPr>
              <w:t>Factor de escala (</w:t>
            </w:r>
            <w:proofErr w:type="spellStart"/>
            <w:r w:rsidRPr="3DB4A857">
              <w:rPr>
                <w:rFonts w:ascii="Calibri" w:eastAsia="Calibri" w:hAnsi="Calibri" w:cs="Calibri"/>
              </w:rPr>
              <w:t>alpha</w:t>
            </w:r>
            <w:proofErr w:type="spellEnd"/>
            <w:r w:rsidRPr="3DB4A857">
              <w:rPr>
                <w:rFonts w:ascii="Calibri" w:eastAsia="Calibri" w:hAnsi="Calibri" w:cs="Calibri"/>
              </w:rPr>
              <w:t>)</w:t>
            </w:r>
          </w:p>
        </w:tc>
        <w:tc>
          <w:tcPr>
            <w:tcW w:w="4530" w:type="dxa"/>
          </w:tcPr>
          <w:p w14:paraId="11973A5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32</w:t>
            </w:r>
          </w:p>
        </w:tc>
      </w:tr>
      <w:tr w:rsidR="3DB4A857" w14:paraId="03B1BAED"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1C43B08F" w14:textId="77777777" w:rsidR="3DB4A857" w:rsidRDefault="3DB4A857" w:rsidP="3DB4A857">
            <w:pPr>
              <w:rPr>
                <w:rFonts w:ascii="Calibri" w:eastAsia="Calibri" w:hAnsi="Calibri" w:cs="Calibri"/>
              </w:rPr>
            </w:pPr>
            <w:proofErr w:type="spellStart"/>
            <w:r w:rsidRPr="3DB4A857">
              <w:rPr>
                <w:rFonts w:ascii="Calibri" w:eastAsia="Calibri" w:hAnsi="Calibri" w:cs="Calibri"/>
              </w:rPr>
              <w:t>Dropout</w:t>
            </w:r>
            <w:proofErr w:type="spellEnd"/>
            <w:r w:rsidRPr="3DB4A857">
              <w:rPr>
                <w:rFonts w:ascii="Calibri" w:eastAsia="Calibri" w:hAnsi="Calibri" w:cs="Calibri"/>
              </w:rPr>
              <w:t xml:space="preserve"> </w:t>
            </w:r>
            <w:proofErr w:type="spellStart"/>
            <w:r w:rsidRPr="3DB4A857">
              <w:rPr>
                <w:rFonts w:ascii="Calibri" w:eastAsia="Calibri" w:hAnsi="Calibri" w:cs="Calibri"/>
              </w:rPr>
              <w:t>LoRA</w:t>
            </w:r>
            <w:proofErr w:type="spellEnd"/>
          </w:p>
        </w:tc>
        <w:tc>
          <w:tcPr>
            <w:tcW w:w="4530" w:type="dxa"/>
          </w:tcPr>
          <w:p w14:paraId="6BD9201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0,1</w:t>
            </w:r>
          </w:p>
        </w:tc>
      </w:tr>
      <w:tr w:rsidR="3DB4A857" w14:paraId="31D34803"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45CC706" w14:textId="77777777" w:rsidR="3DB4A857" w:rsidRDefault="3DB4A857" w:rsidP="3DB4A857">
            <w:pPr>
              <w:rPr>
                <w:rFonts w:ascii="Calibri" w:eastAsia="Calibri" w:hAnsi="Calibri" w:cs="Calibri"/>
              </w:rPr>
            </w:pPr>
            <w:r w:rsidRPr="3DB4A857">
              <w:rPr>
                <w:rFonts w:ascii="Calibri" w:eastAsia="Calibri" w:hAnsi="Calibri" w:cs="Calibri"/>
              </w:rPr>
              <w:lastRenderedPageBreak/>
              <w:t>Módulos objetivo</w:t>
            </w:r>
          </w:p>
        </w:tc>
        <w:tc>
          <w:tcPr>
            <w:tcW w:w="4530" w:type="dxa"/>
          </w:tcPr>
          <w:p w14:paraId="064C227A"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q_proj, v_proj</w:t>
            </w:r>
          </w:p>
        </w:tc>
      </w:tr>
      <w:tr w:rsidR="3DB4A857" w14:paraId="529FA346"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117E5C95" w14:textId="77777777" w:rsidR="3DB4A857" w:rsidRDefault="3DB4A857" w:rsidP="3DB4A857">
            <w:pPr>
              <w:rPr>
                <w:rFonts w:ascii="Calibri" w:eastAsia="Calibri" w:hAnsi="Calibri" w:cs="Calibri"/>
              </w:rPr>
            </w:pPr>
            <w:r w:rsidRPr="3DB4A857">
              <w:rPr>
                <w:rFonts w:ascii="Calibri" w:eastAsia="Calibri" w:hAnsi="Calibri" w:cs="Calibri"/>
              </w:rPr>
              <w:t>Optimizador</w:t>
            </w:r>
          </w:p>
        </w:tc>
        <w:tc>
          <w:tcPr>
            <w:tcW w:w="4530" w:type="dxa"/>
          </w:tcPr>
          <w:p w14:paraId="37B26A2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AdamW</w:t>
            </w:r>
            <w:proofErr w:type="spellEnd"/>
          </w:p>
        </w:tc>
      </w:tr>
      <w:tr w:rsidR="3DB4A857" w14:paraId="6B3E0CBF"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5147A259" w14:textId="77777777" w:rsidR="3DB4A857" w:rsidRDefault="3DB4A857" w:rsidP="3DB4A857">
            <w:pPr>
              <w:rPr>
                <w:rFonts w:ascii="Calibri" w:eastAsia="Calibri" w:hAnsi="Calibri" w:cs="Calibri"/>
              </w:rPr>
            </w:pPr>
            <w:r w:rsidRPr="3DB4A857">
              <w:rPr>
                <w:rFonts w:ascii="Calibri" w:eastAsia="Calibri" w:hAnsi="Calibri" w:cs="Calibri"/>
              </w:rPr>
              <w:t>Tasa de aprendizaje</w:t>
            </w:r>
          </w:p>
        </w:tc>
        <w:tc>
          <w:tcPr>
            <w:tcW w:w="4530" w:type="dxa"/>
          </w:tcPr>
          <w:p w14:paraId="442C1C1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3e-4</w:t>
            </w:r>
          </w:p>
        </w:tc>
      </w:tr>
      <w:tr w:rsidR="3DB4A857" w14:paraId="2C0961D0"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67BE14A" w14:textId="77777777" w:rsidR="3DB4A857" w:rsidRDefault="3DB4A857" w:rsidP="3DB4A857">
            <w:pPr>
              <w:rPr>
                <w:rFonts w:ascii="Calibri" w:eastAsia="Calibri" w:hAnsi="Calibri" w:cs="Calibri"/>
              </w:rPr>
            </w:pPr>
            <w:proofErr w:type="spellStart"/>
            <w:r w:rsidRPr="3DB4A857">
              <w:rPr>
                <w:rFonts w:ascii="Calibri" w:eastAsia="Calibri" w:hAnsi="Calibri" w:cs="Calibri"/>
              </w:rPr>
              <w:t>Warmup</w:t>
            </w:r>
            <w:proofErr w:type="spellEnd"/>
            <w:r w:rsidRPr="3DB4A857">
              <w:rPr>
                <w:rFonts w:ascii="Calibri" w:eastAsia="Calibri" w:hAnsi="Calibri" w:cs="Calibri"/>
              </w:rPr>
              <w:t xml:space="preserve"> </w:t>
            </w:r>
            <w:proofErr w:type="spellStart"/>
            <w:r w:rsidRPr="3DB4A857">
              <w:rPr>
                <w:rFonts w:ascii="Calibri" w:eastAsia="Calibri" w:hAnsi="Calibri" w:cs="Calibri"/>
              </w:rPr>
              <w:t>steps</w:t>
            </w:r>
            <w:proofErr w:type="spellEnd"/>
          </w:p>
        </w:tc>
        <w:tc>
          <w:tcPr>
            <w:tcW w:w="4530" w:type="dxa"/>
          </w:tcPr>
          <w:p w14:paraId="197EAEE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100</w:t>
            </w:r>
          </w:p>
        </w:tc>
      </w:tr>
      <w:tr w:rsidR="3DB4A857" w14:paraId="3E5307A3"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EFA2660" w14:textId="77777777" w:rsidR="3DB4A857" w:rsidRDefault="3DB4A857" w:rsidP="3DB4A857">
            <w:pPr>
              <w:rPr>
                <w:rFonts w:ascii="Calibri" w:eastAsia="Calibri" w:hAnsi="Calibri" w:cs="Calibri"/>
              </w:rPr>
            </w:pPr>
            <w:proofErr w:type="spellStart"/>
            <w:r w:rsidRPr="3DB4A857">
              <w:rPr>
                <w:rFonts w:ascii="Calibri" w:eastAsia="Calibri" w:hAnsi="Calibri" w:cs="Calibri"/>
              </w:rPr>
              <w:t>Epochs</w:t>
            </w:r>
            <w:proofErr w:type="spellEnd"/>
          </w:p>
        </w:tc>
        <w:tc>
          <w:tcPr>
            <w:tcW w:w="4530" w:type="dxa"/>
          </w:tcPr>
          <w:p w14:paraId="5D9F2B7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w:t>
            </w:r>
          </w:p>
        </w:tc>
      </w:tr>
      <w:tr w:rsidR="3DB4A857" w14:paraId="376B535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1258D3C8" w14:textId="77777777" w:rsidR="3DB4A857" w:rsidRDefault="3DB4A857" w:rsidP="3DB4A857">
            <w:pPr>
              <w:rPr>
                <w:rFonts w:ascii="Calibri" w:eastAsia="Calibri" w:hAnsi="Calibri" w:cs="Calibri"/>
              </w:rPr>
            </w:pPr>
            <w:r w:rsidRPr="3DB4A857">
              <w:rPr>
                <w:rFonts w:ascii="Calibri" w:eastAsia="Calibri" w:hAnsi="Calibri" w:cs="Calibri"/>
              </w:rPr>
              <w:t xml:space="preserve">Batch </w:t>
            </w:r>
            <w:proofErr w:type="spellStart"/>
            <w:r w:rsidRPr="3DB4A857">
              <w:rPr>
                <w:rFonts w:ascii="Calibri" w:eastAsia="Calibri" w:hAnsi="Calibri" w:cs="Calibri"/>
              </w:rPr>
              <w:t>size</w:t>
            </w:r>
            <w:proofErr w:type="spellEnd"/>
            <w:r w:rsidRPr="3DB4A857">
              <w:rPr>
                <w:rFonts w:ascii="Calibri" w:eastAsia="Calibri" w:hAnsi="Calibri" w:cs="Calibri"/>
              </w:rPr>
              <w:t xml:space="preserve"> por dispositivo</w:t>
            </w:r>
          </w:p>
        </w:tc>
        <w:tc>
          <w:tcPr>
            <w:tcW w:w="4530" w:type="dxa"/>
          </w:tcPr>
          <w:p w14:paraId="74C151C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w:t>
            </w:r>
          </w:p>
        </w:tc>
      </w:tr>
      <w:tr w:rsidR="3DB4A857" w14:paraId="688CB6D0"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2B697A8A" w14:textId="77777777" w:rsidR="3DB4A857" w:rsidRDefault="3DB4A857" w:rsidP="3DB4A857">
            <w:pPr>
              <w:rPr>
                <w:rFonts w:ascii="Calibri" w:eastAsia="Calibri" w:hAnsi="Calibri" w:cs="Calibri"/>
              </w:rPr>
            </w:pPr>
            <w:r w:rsidRPr="3DB4A857">
              <w:rPr>
                <w:rFonts w:ascii="Calibri" w:eastAsia="Calibri" w:hAnsi="Calibri" w:cs="Calibri"/>
              </w:rPr>
              <w:t>Longitud máxima de secuencia</w:t>
            </w:r>
          </w:p>
        </w:tc>
        <w:tc>
          <w:tcPr>
            <w:tcW w:w="4530" w:type="dxa"/>
          </w:tcPr>
          <w:p w14:paraId="088EC79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128 tokens</w:t>
            </w:r>
          </w:p>
        </w:tc>
      </w:tr>
      <w:tr w:rsidR="3DB4A857" w14:paraId="525954A7"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794E2F29" w14:textId="77777777" w:rsidR="3DB4A857" w:rsidRDefault="3DB4A857" w:rsidP="3DB4A857">
            <w:pPr>
              <w:rPr>
                <w:rFonts w:ascii="Calibri" w:eastAsia="Calibri" w:hAnsi="Calibri" w:cs="Calibri"/>
              </w:rPr>
            </w:pPr>
            <w:r w:rsidRPr="3DB4A857">
              <w:rPr>
                <w:rFonts w:ascii="Calibri" w:eastAsia="Calibri" w:hAnsi="Calibri" w:cs="Calibri"/>
              </w:rPr>
              <w:t>Dispositivo</w:t>
            </w:r>
          </w:p>
        </w:tc>
        <w:tc>
          <w:tcPr>
            <w:tcW w:w="4530" w:type="dxa"/>
          </w:tcPr>
          <w:p w14:paraId="477443C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Apple M4 Max + MPS</w:t>
            </w:r>
          </w:p>
        </w:tc>
      </w:tr>
    </w:tbl>
    <w:p w14:paraId="48117451"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Elaboración propia. El corpus de entrenamiento se duplica de 4.512 a 9.024 ejemplos para cubrir ambas direcciones de traducción.</w:t>
      </w:r>
    </w:p>
    <w:p w14:paraId="60A8259C"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configuración de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introdujo aproximadamente 1,18 millones de parámetros </w:t>
      </w:r>
      <w:proofErr w:type="spellStart"/>
      <w:r w:rsidRPr="00A1331B">
        <w:rPr>
          <w:rFonts w:ascii="Calibri" w:eastAsia="Calibri" w:hAnsi="Calibri" w:cs="Calibri"/>
          <w:color w:val="000000" w:themeColor="text1"/>
        </w:rPr>
        <w:t>entrenables</w:t>
      </w:r>
      <w:proofErr w:type="spellEnd"/>
      <w:r w:rsidRPr="00A1331B">
        <w:rPr>
          <w:rFonts w:ascii="Calibri" w:eastAsia="Calibri" w:hAnsi="Calibri" w:cs="Calibri"/>
          <w:color w:val="000000" w:themeColor="text1"/>
        </w:rPr>
        <w:t>, equivalentes al 0,19 % de los 615 millones de parámetros totales del modelo base. Los pesos del adaptador resultante ocupan 9,4 megabytes, frente a los 2,4 gigabytes del modelo NLLB completo, lo que confirma la ventaja de eficiencia en almacenamiento y portabilidad que motiva esta familia de técnicas (</w:t>
      </w:r>
      <w:proofErr w:type="spellStart"/>
      <w:r w:rsidRPr="00A1331B">
        <w:rPr>
          <w:rFonts w:ascii="Calibri" w:eastAsia="Calibri" w:hAnsi="Calibri" w:cs="Calibri"/>
          <w:color w:val="000000" w:themeColor="text1"/>
        </w:rPr>
        <w:t>Hu</w:t>
      </w:r>
      <w:proofErr w:type="spellEnd"/>
      <w:r w:rsidRPr="00A1331B">
        <w:rPr>
          <w:rFonts w:ascii="Calibri" w:eastAsia="Calibri" w:hAnsi="Calibri" w:cs="Calibri"/>
          <w:color w:val="000000" w:themeColor="text1"/>
        </w:rPr>
        <w:t xml:space="preserve"> et al., 2022; Su et al., 2024). El tiempo total de entrenamiento sobre la estación local fue de aproximadamente 47 minutos para los 3 </w:t>
      </w:r>
      <w:proofErr w:type="spellStart"/>
      <w:r w:rsidRPr="00A1331B">
        <w:rPr>
          <w:rFonts w:ascii="Calibri" w:eastAsia="Calibri" w:hAnsi="Calibri" w:cs="Calibri"/>
          <w:color w:val="000000" w:themeColor="text1"/>
        </w:rPr>
        <w:t>epochs</w:t>
      </w:r>
      <w:proofErr w:type="spellEnd"/>
      <w:r w:rsidRPr="00A1331B">
        <w:rPr>
          <w:rFonts w:ascii="Calibri" w:eastAsia="Calibri" w:hAnsi="Calibri" w:cs="Calibri"/>
          <w:color w:val="000000" w:themeColor="text1"/>
        </w:rPr>
        <w:t xml:space="preserve"> y 3.384 </w:t>
      </w:r>
      <w:proofErr w:type="spellStart"/>
      <w:r w:rsidRPr="00A1331B">
        <w:rPr>
          <w:rFonts w:ascii="Calibri" w:eastAsia="Calibri" w:hAnsi="Calibri" w:cs="Calibri"/>
          <w:i/>
          <w:iCs/>
          <w:color w:val="000000" w:themeColor="text1"/>
        </w:rPr>
        <w:t>steps</w:t>
      </w:r>
      <w:proofErr w:type="spellEnd"/>
      <w:r w:rsidRPr="00A1331B">
        <w:rPr>
          <w:rFonts w:ascii="Calibri" w:eastAsia="Calibri" w:hAnsi="Calibri" w:cs="Calibri"/>
          <w:color w:val="000000" w:themeColor="text1"/>
        </w:rPr>
        <w:t xml:space="preserve"> de optimización.</w:t>
      </w:r>
    </w:p>
    <w:p w14:paraId="2DB7B7E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evolución de la función de pérdida durante el entrenamiento se muestra en la Figura 10. La pérdida de entrenamiento descendió de un valor inicial de 10,71 a 6,00 en los 3.384 </w:t>
      </w:r>
      <w:proofErr w:type="spellStart"/>
      <w:r w:rsidRPr="00A1331B">
        <w:rPr>
          <w:rFonts w:ascii="Calibri" w:eastAsia="Calibri" w:hAnsi="Calibri" w:cs="Calibri"/>
          <w:i/>
          <w:iCs/>
          <w:color w:val="000000" w:themeColor="text1"/>
        </w:rPr>
        <w:t>steps</w:t>
      </w:r>
      <w:proofErr w:type="spellEnd"/>
      <w:r w:rsidRPr="00A1331B">
        <w:rPr>
          <w:rFonts w:ascii="Calibri" w:eastAsia="Calibri" w:hAnsi="Calibri" w:cs="Calibri"/>
          <w:color w:val="000000" w:themeColor="text1"/>
        </w:rPr>
        <w:t xml:space="preserve"> totales, mientras que la pérdida de validación, evaluada al final de cada </w:t>
      </w:r>
      <w:proofErr w:type="spellStart"/>
      <w:r w:rsidRPr="00A1331B">
        <w:rPr>
          <w:rFonts w:ascii="Calibri" w:eastAsia="Calibri" w:hAnsi="Calibri" w:cs="Calibri"/>
          <w:color w:val="000000" w:themeColor="text1"/>
        </w:rPr>
        <w:t>epoch</w:t>
      </w:r>
      <w:proofErr w:type="spellEnd"/>
      <w:r w:rsidRPr="00A1331B">
        <w:rPr>
          <w:rFonts w:ascii="Calibri" w:eastAsia="Calibri" w:hAnsi="Calibri" w:cs="Calibri"/>
          <w:color w:val="000000" w:themeColor="text1"/>
        </w:rPr>
        <w:t xml:space="preserve">, registró 6,05, 5,97 y 5,94 respectivamente. La convergencia entre las dos curvas, sin separación apreciable entre entrenamiento y validación, indica que el modelo no incurre en sobreajuste sobre el corpus disponible; sin embargo, la pérdida absoluta sigue siendo alta para los estándares de la traducción automática neuronal estándar, lo que sugiere que el adaptador alcanza el régimen lineal del proceso de aprendizaje pero no llega al punto de saturación que permitiría </w:t>
      </w:r>
      <w:r w:rsidRPr="00A1331B">
        <w:rPr>
          <w:rFonts w:ascii="Calibri" w:eastAsia="Calibri" w:hAnsi="Calibri" w:cs="Calibri"/>
          <w:color w:val="000000" w:themeColor="text1"/>
        </w:rPr>
        <w:lastRenderedPageBreak/>
        <w:t>una calidad de traducción comparable a pares lingüísticos de alto recurso. Esta limitación se discute en relación con el tamaño efectivo del corpus en el Capítulo 5.</w:t>
      </w:r>
    </w:p>
    <w:p w14:paraId="7C15DCEB" w14:textId="77777777" w:rsidR="005E627C" w:rsidRDefault="384FA2C3" w:rsidP="00A1331B">
      <w:pPr>
        <w:pStyle w:val="ListParagraph"/>
        <w:keepNext/>
      </w:pPr>
      <w:r>
        <w:rPr>
          <w:noProof/>
        </w:rPr>
        <w:drawing>
          <wp:inline distT="0" distB="0" distL="0" distR="0" wp14:anchorId="0D22FC6F" wp14:editId="2ABDF8E6">
            <wp:extent cx="5038725" cy="3048000"/>
            <wp:effectExtent l="0" t="0" r="0" b="0"/>
            <wp:docPr id="992410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0487" name="Picture 992410487"/>
                    <pic:cNvPicPr/>
                  </pic:nvPicPr>
                  <pic:blipFill>
                    <a:blip r:embed="rId21">
                      <a:extLst>
                        <a:ext uri="{28A0092B-C50C-407E-A947-70E740481C1C}">
                          <a14:useLocalDpi xmlns:a14="http://schemas.microsoft.com/office/drawing/2010/main"/>
                        </a:ext>
                      </a:extLst>
                    </a:blip>
                    <a:stretch>
                      <a:fillRect/>
                    </a:stretch>
                  </pic:blipFill>
                  <pic:spPr>
                    <a:xfrm>
                      <a:off x="0" y="0"/>
                      <a:ext cx="5038725" cy="3048000"/>
                    </a:xfrm>
                    <a:prstGeom prst="rect">
                      <a:avLst/>
                    </a:prstGeom>
                  </pic:spPr>
                </pic:pic>
              </a:graphicData>
            </a:graphic>
          </wp:inline>
        </w:drawing>
      </w:r>
    </w:p>
    <w:p w14:paraId="6DC92DB0" w14:textId="11A20980" w:rsidR="00C43711" w:rsidRDefault="005E627C" w:rsidP="005E627C">
      <w:pPr>
        <w:pStyle w:val="Caption"/>
        <w:jc w:val="center"/>
      </w:pPr>
      <w:bookmarkStart w:id="118" w:name="_Toc230953003"/>
      <w:bookmarkStart w:id="119" w:name="_Toc230961092"/>
      <w:bookmarkStart w:id="120" w:name="_Toc233199117"/>
      <w:r>
        <w:t xml:space="preserve">Figura </w:t>
      </w:r>
      <w:fldSimple w:instr=" SEQ Ilustración \* ARABIC ">
        <w:r w:rsidR="0059770D">
          <w:rPr>
            <w:noProof/>
          </w:rPr>
          <w:t>10</w:t>
        </w:r>
      </w:fldSimple>
      <w:r>
        <w:t xml:space="preserve"> </w:t>
      </w:r>
      <w:r w:rsidRPr="00D96139">
        <w:tab/>
        <w:t xml:space="preserve">Curva de </w:t>
      </w:r>
      <w:proofErr w:type="spellStart"/>
      <w:r w:rsidRPr="00D96139">
        <w:t>loss</w:t>
      </w:r>
      <w:proofErr w:type="spellEnd"/>
      <w:r w:rsidRPr="00D96139">
        <w:t xml:space="preserve"> del entrenamiento </w:t>
      </w:r>
      <w:proofErr w:type="spellStart"/>
      <w:r w:rsidRPr="00D96139">
        <w:t>LoRA</w:t>
      </w:r>
      <w:proofErr w:type="spellEnd"/>
      <w:r w:rsidRPr="00D96139">
        <w:t xml:space="preserve"> bidireccional</w:t>
      </w:r>
      <w:bookmarkEnd w:id="118"/>
      <w:bookmarkEnd w:id="119"/>
      <w:bookmarkEnd w:id="120"/>
    </w:p>
    <w:p w14:paraId="59EA9E9D"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 Elaboración propia a partir del Notebook 09. La curva azul muestra la pérdida de entrenamiento muestreada cada 20 steps. Los puntos rojos marcan la pérdida de validación al final de cada epoch.</w:t>
      </w:r>
    </w:p>
    <w:p w14:paraId="18D3D99C"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inspección cualitativa de las traducciones producidas por el adaptador revela un comportamiento asimétrico entre las dos direcciones. En la dirección Inga-español el modelo genera oraciones gramaticalmente correctas y semánticamente plausibles para versículos del Nuevo Testamento, aunque con desviaciones léxicas frecuentes respecto a la referencia. En la dirección español-Inga, en cambio, el decodificador entra en un modo de repetición patológica para más del 40 % de las oraciones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secuencias del tipo "</w:t>
      </w:r>
      <w:proofErr w:type="spellStart"/>
      <w:r w:rsidRPr="00A1331B">
        <w:rPr>
          <w:rFonts w:ascii="Calibri" w:eastAsia="Calibri" w:hAnsi="Calibri" w:cs="Calibri"/>
          <w:color w:val="000000" w:themeColor="text1"/>
        </w:rPr>
        <w:t>iapa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iapa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iapa</w:t>
      </w:r>
      <w:proofErr w:type="spellEnd"/>
      <w:r w:rsidRPr="00A1331B">
        <w:rPr>
          <w:rFonts w:ascii="Calibri" w:eastAsia="Calibri" w:hAnsi="Calibri" w:cs="Calibri"/>
          <w:color w:val="000000" w:themeColor="text1"/>
        </w:rPr>
        <w:t>..." o "</w:t>
      </w:r>
      <w:proofErr w:type="spellStart"/>
      <w:r w:rsidRPr="00A1331B">
        <w:rPr>
          <w:rFonts w:ascii="Calibri" w:eastAsia="Calibri" w:hAnsi="Calibri" w:cs="Calibri"/>
          <w:color w:val="000000" w:themeColor="text1"/>
        </w:rPr>
        <w:t>suglla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suglla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suglla</w:t>
      </w:r>
      <w:proofErr w:type="spellEnd"/>
      <w:r w:rsidRPr="00A1331B">
        <w:rPr>
          <w:rFonts w:ascii="Calibri" w:eastAsia="Calibri" w:hAnsi="Calibri" w:cs="Calibri"/>
          <w:color w:val="000000" w:themeColor="text1"/>
        </w:rPr>
        <w:t xml:space="preserve">..." se prolongan hasta agotar el presupuesto de tokens, indicando que el modelo no ha logrado aprender una distribución de generación coherente para la lengua de bajos recursos a partir de los 4.512 pares disponibles. Este modo de fallo es conocido en la literatura sobre traducción a lenguas con datos extremadamente escasos y ha sido reportado tanto por </w:t>
      </w:r>
      <w:proofErr w:type="spellStart"/>
      <w:r w:rsidRPr="00A1331B">
        <w:rPr>
          <w:rFonts w:ascii="Calibri" w:eastAsia="Calibri" w:hAnsi="Calibri" w:cs="Calibri"/>
          <w:color w:val="000000" w:themeColor="text1"/>
        </w:rPr>
        <w:t>Garcia</w:t>
      </w:r>
      <w:proofErr w:type="spellEnd"/>
      <w:r w:rsidRPr="00A1331B">
        <w:rPr>
          <w:rFonts w:ascii="Calibri" w:eastAsia="Calibri" w:hAnsi="Calibri" w:cs="Calibri"/>
          <w:color w:val="000000" w:themeColor="text1"/>
        </w:rPr>
        <w:t xml:space="preserve"> Gilabert et al. (2024) como por DeGenaro y Lupicki (2024).</w:t>
      </w:r>
    </w:p>
    <w:p w14:paraId="124FF0B8"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121" w:name="_Toc230950281"/>
      <w:bookmarkStart w:id="122" w:name="_Toc233199095"/>
      <w:r w:rsidRPr="3DB4A857">
        <w:rPr>
          <w:rFonts w:ascii="Calibri Light" w:eastAsia="Calibri Light" w:hAnsi="Calibri Light" w:cs="Calibri Light"/>
          <w:bCs w:val="0"/>
          <w:iCs w:val="0"/>
        </w:rPr>
        <w:lastRenderedPageBreak/>
        <w:t>4.5 Pipeline LLM + RAG con Claude</w:t>
      </w:r>
      <w:bookmarkEnd w:id="121"/>
      <w:bookmarkEnd w:id="122"/>
    </w:p>
    <w:p w14:paraId="1FD27B6B"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b/>
          <w:bCs/>
          <w:color w:val="000000" w:themeColor="text1"/>
        </w:rPr>
        <w:t>Contribución de Daniel Eslava.</w:t>
      </w:r>
    </w:p>
    <w:p w14:paraId="68D570A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segundo eje experimental opera sobre el modelo de lenguaje de frontera </w:t>
      </w:r>
      <w:r w:rsidRPr="00A1331B">
        <w:rPr>
          <w:rFonts w:ascii="Calibri" w:eastAsia="Calibri" w:hAnsi="Calibri" w:cs="Calibri"/>
          <w:b/>
          <w:bCs/>
          <w:color w:val="000000" w:themeColor="text1"/>
        </w:rPr>
        <w:t>Claude</w:t>
      </w:r>
      <w:r w:rsidRPr="00A1331B">
        <w:rPr>
          <w:rFonts w:ascii="Calibri" w:eastAsia="Calibri" w:hAnsi="Calibri" w:cs="Calibri"/>
          <w:color w:val="000000" w:themeColor="text1"/>
        </w:rPr>
        <w:t xml:space="preserve"> de Anthropic, enriquecido con el contexto recuperado del sistema RAG descrito en la sección 4.3. La evaluación experimental se ejecutó con dos versiones del modelo (Sonnet 4.6 y Opus 4.7) para caracterizar el efecto del escalado del modelo subyacente sobre la calidad de traducción en condiciones de bajos recursos. El diseño del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es estructurado y específico por dirección. La dirección Inga-español utiliza un </w:t>
      </w:r>
      <w:proofErr w:type="spellStart"/>
      <w:r w:rsidRPr="00A1331B">
        <w:rPr>
          <w:rFonts w:ascii="Calibri" w:eastAsia="Calibri" w:hAnsi="Calibri" w:cs="Calibri"/>
          <w:i/>
          <w:iCs/>
          <w:color w:val="000000" w:themeColor="text1"/>
        </w:rPr>
        <w:t>system</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prompt</w:t>
      </w:r>
      <w:proofErr w:type="spellEnd"/>
      <w:r w:rsidRPr="00A1331B">
        <w:rPr>
          <w:rFonts w:ascii="Calibri" w:eastAsia="Calibri" w:hAnsi="Calibri" w:cs="Calibri"/>
          <w:color w:val="000000" w:themeColor="text1"/>
        </w:rPr>
        <w:t xml:space="preserve"> que sitúa al modelo como traductor especializado en una variante quechua del Putumayo y le pide responder únicamente con la traducción, sin explicaciones. La dirección español-Inga emplea un </w:t>
      </w:r>
      <w:proofErr w:type="spellStart"/>
      <w:r w:rsidRPr="00A1331B">
        <w:rPr>
          <w:rFonts w:ascii="Calibri" w:eastAsia="Calibri" w:hAnsi="Calibri" w:cs="Calibri"/>
          <w:i/>
          <w:iCs/>
          <w:color w:val="000000" w:themeColor="text1"/>
        </w:rPr>
        <w:t>system</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prompt</w:t>
      </w:r>
      <w:proofErr w:type="spellEnd"/>
      <w:r w:rsidRPr="00A1331B">
        <w:rPr>
          <w:rFonts w:ascii="Calibri" w:eastAsia="Calibri" w:hAnsi="Calibri" w:cs="Calibri"/>
          <w:color w:val="000000" w:themeColor="text1"/>
        </w:rPr>
        <w:t xml:space="preserve"> que enfatiza la primacía del vocabulario y los patrones gramaticales suministrados por el RAG sobre el conocimiento previo del modelo, dado el escaso volumen de Inga en los datos de preentrenamiento de cualquier modelo de lenguaje de frontera.</w:t>
      </w:r>
    </w:p>
    <w:p w14:paraId="5F501DD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cuerpo del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sigue un patrón consistente. La primera sección inyecta las cinco entradas léxicas más cercanas semánticamente a la oración a traducir, formateadas como </w:t>
      </w:r>
      <w:r w:rsidRPr="00A1331B">
        <w:rPr>
          <w:rFonts w:ascii="Consolas" w:eastAsia="Consolas" w:hAnsi="Consolas" w:cs="Consolas"/>
          <w:color w:val="000000" w:themeColor="text1"/>
        </w:rPr>
        <w:t>lema (categoría): glosa</w:t>
      </w:r>
      <w:r w:rsidRPr="00A1331B">
        <w:rPr>
          <w:rFonts w:ascii="Calibri" w:eastAsia="Calibri" w:hAnsi="Calibri" w:cs="Calibri"/>
          <w:color w:val="000000" w:themeColor="text1"/>
        </w:rPr>
        <w:t xml:space="preserve">. La segunda sección incluye hasta tres bloques de notas gramaticales del índice gramatical, truncados a 400 caracteres cada uno para no saturar el contexto. La tercera sección entrega cinco ejemplos paralelos similares en formato </w:t>
      </w:r>
      <w:r w:rsidRPr="00A1331B">
        <w:rPr>
          <w:rFonts w:ascii="Consolas" w:eastAsia="Consolas" w:hAnsi="Consolas" w:cs="Consolas"/>
          <w:color w:val="000000" w:themeColor="text1"/>
        </w:rPr>
        <w:t>INGA: ... / ESPAÑOL: ...</w:t>
      </w:r>
      <w:r w:rsidRPr="00A1331B">
        <w:rPr>
          <w:rFonts w:ascii="Calibri" w:eastAsia="Calibri" w:hAnsi="Calibri" w:cs="Calibri"/>
          <w:color w:val="000000" w:themeColor="text1"/>
        </w:rPr>
        <w:t xml:space="preserve">, invertido para la dirección opuesta.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cierra con la instrucción explícita y la oración objetivo.</w:t>
      </w:r>
    </w:p>
    <w:p w14:paraId="1F94E8FE"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inspección cualitativa de las traducciones producidas confirma que la inyección del contexto recuperado modifica sustancialmente el comportamiento del modelo. Un ejemplo ilustrativo proviene del versículo Lucas 9:17, donde el texto Inga "</w:t>
      </w:r>
      <w:proofErr w:type="spellStart"/>
      <w:r w:rsidRPr="00A1331B">
        <w:rPr>
          <w:rFonts w:ascii="Calibri" w:eastAsia="Calibri" w:hAnsi="Calibri" w:cs="Calibri"/>
          <w:color w:val="000000" w:themeColor="text1"/>
        </w:rPr>
        <w:t>Tukuikunami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sagsagta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mikurkakuna</w:t>
      </w:r>
      <w:proofErr w:type="spellEnd"/>
      <w:r w:rsidRPr="00A1331B">
        <w:rPr>
          <w:rFonts w:ascii="Calibri" w:eastAsia="Calibri" w:hAnsi="Calibri" w:cs="Calibri"/>
          <w:color w:val="000000" w:themeColor="text1"/>
        </w:rPr>
        <w:t xml:space="preserve">. Nispaka, chunga </w:t>
      </w:r>
      <w:proofErr w:type="spellStart"/>
      <w:r w:rsidRPr="00A1331B">
        <w:rPr>
          <w:rFonts w:ascii="Calibri" w:eastAsia="Calibri" w:hAnsi="Calibri" w:cs="Calibri"/>
          <w:color w:val="000000" w:themeColor="text1"/>
        </w:rPr>
        <w:t>iskai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saparu</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junda</w:t>
      </w:r>
      <w:proofErr w:type="spellEnd"/>
      <w:r w:rsidRPr="00A1331B">
        <w:rPr>
          <w:rFonts w:ascii="Calibri" w:eastAsia="Calibri" w:hAnsi="Calibri" w:cs="Calibri"/>
          <w:color w:val="000000" w:themeColor="text1"/>
        </w:rPr>
        <w:t xml:space="preserve"> piti </w:t>
      </w:r>
      <w:proofErr w:type="spellStart"/>
      <w:r w:rsidRPr="00A1331B">
        <w:rPr>
          <w:rFonts w:ascii="Calibri" w:eastAsia="Calibri" w:hAnsi="Calibri" w:cs="Calibri"/>
          <w:color w:val="000000" w:themeColor="text1"/>
        </w:rPr>
        <w:t>pitikuna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tandachirkakuna</w:t>
      </w:r>
      <w:proofErr w:type="spellEnd"/>
      <w:r w:rsidRPr="00A1331B">
        <w:rPr>
          <w:rFonts w:ascii="Calibri" w:eastAsia="Calibri" w:hAnsi="Calibri" w:cs="Calibri"/>
          <w:color w:val="000000" w:themeColor="text1"/>
        </w:rPr>
        <w:t xml:space="preserve">." debe traducirse como "Y comieron todos, y se hartaron; y alzaron lo que les sobró, doce cestos de pedazos". La traducción del adaptador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produce "Y comieron todos los que quedaron, y se llenaron los pedazos, doce mil pedazos", incurriendo en una confusión numérica grave (doce mil en lugar de doce). El pipeline con Claude más RAG, por contraste, produce "Y </w:t>
      </w:r>
      <w:r w:rsidRPr="00A1331B">
        <w:rPr>
          <w:rFonts w:ascii="Calibri" w:eastAsia="Calibri" w:hAnsi="Calibri" w:cs="Calibri"/>
          <w:color w:val="000000" w:themeColor="text1"/>
        </w:rPr>
        <w:lastRenderedPageBreak/>
        <w:t xml:space="preserve">comieron todos, y se hartaron; y alzaron lo que sobró de los pedazos, doce cestas llenas", una traducción casi literalmente equivalente al </w:t>
      </w:r>
      <w:proofErr w:type="spellStart"/>
      <w:r w:rsidRPr="00A1331B">
        <w:rPr>
          <w:rFonts w:ascii="Calibri" w:eastAsia="Calibri" w:hAnsi="Calibri" w:cs="Calibri"/>
          <w:color w:val="000000" w:themeColor="text1"/>
        </w:rPr>
        <w:t>gold</w:t>
      </w:r>
      <w:proofErr w:type="spellEnd"/>
      <w:r w:rsidRPr="00A1331B">
        <w:rPr>
          <w:rFonts w:ascii="Calibri" w:eastAsia="Calibri" w:hAnsi="Calibri" w:cs="Calibri"/>
          <w:color w:val="000000" w:themeColor="text1"/>
        </w:rPr>
        <w:t xml:space="preserve"> de referencia. Este patrón se repite en la mayoría de los ejemplos donde el RAG logra recuperar versículos paralelos cercanos del corpus de entrenamiento, situación que confirma el aporte del paradigma de aumentación por recuperación al rendimiento del modelo de frontera en este escenario de bajos recursos.</w:t>
      </w:r>
    </w:p>
    <w:p w14:paraId="2EBB1ABC"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23" w:name="_Toc233199096"/>
      <w:r>
        <w:rPr>
          <w:rFonts w:ascii="Calibri Light" w:eastAsia="Calibri Light" w:hAnsi="Calibri Light" w:cs="Calibri Light"/>
          <w:b w:val="0"/>
          <w:bCs w:val="0"/>
          <w:color w:val="000000" w:themeColor="text1"/>
          <w:szCs w:val="24"/>
        </w:rPr>
        <w:t>4.5.1 Diseño de los prompts por dirección</w:t>
      </w:r>
      <w:bookmarkEnd w:id="123"/>
    </w:p>
    <w:p w14:paraId="5AFD7C8E"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pipeline con Claude no usa un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único. La dirección de traducción cambia la dificultad del problema, y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se adapta a esa asimetría. Para Inga-español el modelo traduce hacia una lengua que domina, de modo que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prioriza la fidelidad al sentido y la naturalidad del español, y los ejemplos recuperados sirven sobre todo para desambiguar términos. Para español-Inga el reto es el inverso: el modelo debe generar una lengua que apenas vio en preentrenamiento, y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enfatiza que la salida debe ajustarse a la variante del Putumayo y seguir de cerca la morfología de los ejemplos recuperados. Esta separación no es cosmética; la subsección cualitativa mostró que, sin esa presión explícita hacia el Inga, el modelo deriva con facilidad hacia el </w:t>
      </w:r>
      <w:proofErr w:type="spellStart"/>
      <w:r w:rsidRPr="00A1331B">
        <w:rPr>
          <w:rFonts w:ascii="Calibri" w:eastAsia="Calibri" w:hAnsi="Calibri" w:cs="Calibri"/>
          <w:color w:val="000000" w:themeColor="text1"/>
        </w:rPr>
        <w:t>kichwa</w:t>
      </w:r>
      <w:proofErr w:type="spellEnd"/>
      <w:r w:rsidRPr="00A1331B">
        <w:rPr>
          <w:rFonts w:ascii="Calibri" w:eastAsia="Calibri" w:hAnsi="Calibri" w:cs="Calibri"/>
          <w:color w:val="000000" w:themeColor="text1"/>
        </w:rPr>
        <w:t xml:space="preserve"> ecuatoriano.</w:t>
      </w:r>
    </w:p>
    <w:p w14:paraId="49A040C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cuerpo del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sigue un patrón estable. Se fija primero el rol y la tarea, luego se inserta el bloque de ejemplos recuperados con su traducción de referencia, después las entradas relevantes del diccionario y de la gramática cuando 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las aporta, y al final la oración a traducir. El orden importa: situar los ejemplos antes de la instrucción final ayuda al modelo a inferir el registro y la grafía esperados sin que haya que enunciarlos como reglas.</w:t>
      </w:r>
    </w:p>
    <w:p w14:paraId="23E11EE8"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24" w:name="_Toc233199097"/>
      <w:r>
        <w:rPr>
          <w:rFonts w:ascii="Calibri Light" w:eastAsia="Calibri Light" w:hAnsi="Calibri Light" w:cs="Calibri Light"/>
          <w:b w:val="0"/>
          <w:bCs w:val="0"/>
          <w:color w:val="000000" w:themeColor="text1"/>
          <w:szCs w:val="24"/>
        </w:rPr>
        <w:t>4.5.2 Recuperación multi-índice</w:t>
      </w:r>
      <w:bookmarkEnd w:id="124"/>
    </w:p>
    <w:p w14:paraId="0E6B684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consulta cuatro índices construidos sobre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con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gemini-embedding-001: uno léxico sobre las entradas del diccionario, uno gramatical sobre fragmentos de la gramática pedagógica, y dos de ejemplos paralelos, uno indexado por el lado Inga y otro por el lado español. La consulta se lanza contra el índice que corresponde al idioma de entrada, de modo que en Inga-español se busca por el texto Inga y en español-Inga por el texto español. Los resultados de los cuatro índices se combinan en un único bloque de </w:t>
      </w:r>
      <w:r w:rsidRPr="00A1331B">
        <w:rPr>
          <w:rFonts w:ascii="Calibri" w:eastAsia="Calibri" w:hAnsi="Calibri" w:cs="Calibri"/>
          <w:color w:val="000000" w:themeColor="text1"/>
        </w:rPr>
        <w:lastRenderedPageBreak/>
        <w:t>contexto, con un tope por tipo de fuente para que los ejemplos no desplacen por completo a las entradas de diccionario y gramática.</w:t>
      </w:r>
    </w:p>
    <w:p w14:paraId="498B1B0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elección de mantener índices separados, en lugar de uno solo mezclado, responde a que cada fuente cumple una función distinta en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El diccionario resuelve piezas léxicas concretas; la gramática aporta patrones morfológicos; los ejemplos paralelos dan plantillas completas de oración. Mezclarlos en un único espacio de búsqueda diluiría esa división de trabajo y haría más difícil controlar cuánto pesa cada tipo de conocimiento en el contexto final.</w:t>
      </w:r>
    </w:p>
    <w:p w14:paraId="78994CE2" w14:textId="77777777" w:rsidR="00636E09" w:rsidRPr="00A1331B" w:rsidRDefault="384FA2C3" w:rsidP="3DB4A857">
      <w:pPr>
        <w:pStyle w:val="Heading2"/>
        <w:numPr>
          <w:ilvl w:val="0"/>
          <w:numId w:val="0"/>
        </w:numPr>
        <w:rPr>
          <w:rFonts w:ascii="Calibri Light" w:eastAsia="Calibri Light" w:hAnsi="Calibri Light" w:cs="Calibri Light"/>
          <w:bCs w:val="0"/>
          <w:iCs w:val="0"/>
          <w:lang w:val="es-CO"/>
        </w:rPr>
      </w:pPr>
      <w:bookmarkStart w:id="125" w:name="_Toc230950282"/>
      <w:bookmarkStart w:id="126" w:name="_Toc233199098"/>
      <w:r w:rsidRPr="3DB4A857">
        <w:rPr>
          <w:rFonts w:ascii="Calibri Light" w:eastAsia="Calibri Light" w:hAnsi="Calibri Light" w:cs="Calibri Light"/>
          <w:bCs w:val="0"/>
          <w:iCs w:val="0"/>
        </w:rPr>
        <w:t>4.6 Evaluación comparativa</w:t>
      </w:r>
      <w:bookmarkEnd w:id="125"/>
      <w:bookmarkEnd w:id="126"/>
    </w:p>
    <w:p w14:paraId="2C277CC7" w14:textId="55E53192"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evaluación se ejecutó sobre cien ejemplos del conjunto de validación, seleccionados con semilla 42 para que la muestra fuera reproducible y comparable entre configuraciones. El tamaño responde a un compromiso: es suficiente para que las diferencias entre configuraciones sean legibles en BLEU y </w:t>
      </w:r>
      <w:proofErr w:type="spellStart"/>
      <w:r w:rsidRPr="00A1331B">
        <w:rPr>
          <w:rFonts w:ascii="Calibri" w:eastAsia="Calibri" w:hAnsi="Calibri" w:cs="Calibri"/>
          <w:color w:val="000000" w:themeColor="text1"/>
        </w:rPr>
        <w:t>chrF</w:t>
      </w:r>
      <w:proofErr w:type="spellEnd"/>
      <w:r w:rsidRPr="00A1331B">
        <w:rPr>
          <w:rFonts w:ascii="Calibri" w:eastAsia="Calibri" w:hAnsi="Calibri" w:cs="Calibri"/>
          <w:color w:val="000000" w:themeColor="text1"/>
        </w:rPr>
        <w:t>++, y a la vez acotado para mantener bajo control el costo de las llamadas al modelo de frontera, que se multiplican por cinco configuraciones y dos direcciones. Todas las configuraciones se midieron sobre exactamente el mismo subconjunto, condición necesaria para que la comparación intra-Claude de la Tabla 9 tenga sentido.</w:t>
      </w:r>
    </w:p>
    <w:p w14:paraId="01EAAFBE" w14:textId="2EDFDC7A"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Se reportan tres métricas complementarias por una razón deliberada. BLEU captura el solape de n-gramas de palabras y es sensible a la repetición y a los errores de orden; </w:t>
      </w:r>
      <w:proofErr w:type="spellStart"/>
      <w:r w:rsidRPr="00A1331B">
        <w:rPr>
          <w:rFonts w:ascii="Calibri" w:eastAsia="Calibri" w:hAnsi="Calibri" w:cs="Calibri"/>
          <w:color w:val="000000" w:themeColor="text1"/>
        </w:rPr>
        <w:t>chrF</w:t>
      </w:r>
      <w:proofErr w:type="spellEnd"/>
      <w:r w:rsidRPr="00A1331B">
        <w:rPr>
          <w:rFonts w:ascii="Calibri" w:eastAsia="Calibri" w:hAnsi="Calibri" w:cs="Calibri"/>
          <w:color w:val="000000" w:themeColor="text1"/>
        </w:rPr>
        <w:t xml:space="preserve">++ opera a nivel de caracteres y es más robusto para una lengua aglutinante como el Inga, donde la morfología carga buena parte de la información en sufijos; </w:t>
      </w:r>
      <w:proofErr w:type="spellStart"/>
      <w:r w:rsidRPr="00A1331B">
        <w:rPr>
          <w:rFonts w:ascii="Calibri" w:eastAsia="Calibri" w:hAnsi="Calibri" w:cs="Calibri"/>
          <w:color w:val="000000" w:themeColor="text1"/>
        </w:rPr>
        <w:t>BERTScore</w:t>
      </w:r>
      <w:proofErr w:type="spellEnd"/>
      <w:r w:rsidRPr="00A1331B">
        <w:rPr>
          <w:rFonts w:ascii="Calibri" w:eastAsia="Calibri" w:hAnsi="Calibri" w:cs="Calibri"/>
          <w:color w:val="000000" w:themeColor="text1"/>
        </w:rPr>
        <w:t xml:space="preserve"> mide cercanía en un espacio de representaciones contextuales y sirve de contrapeso cuando las dos anteriores penalizan paráfrasis correctas. Ninguna es suficiente por sí sola, y la subsección cualitativa existe precisamente porque las tres juntas siguen sin capturar el fenómeno de la lengua incorrecta.</w:t>
      </w:r>
    </w:p>
    <w:p w14:paraId="2364D083"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evaluación comparativa se ejecutó sobre 100 ejemplos del </w:t>
      </w:r>
      <w:proofErr w:type="spellStart"/>
      <w:r w:rsidRPr="00A1331B">
        <w:rPr>
          <w:rFonts w:ascii="Calibri" w:eastAsia="Calibri" w:hAnsi="Calibri" w:cs="Calibri"/>
          <w:i/>
          <w:iCs/>
          <w:color w:val="000000" w:themeColor="text1"/>
        </w:rPr>
        <w:t>split</w:t>
      </w:r>
      <w:proofErr w:type="spellEnd"/>
      <w:r w:rsidRPr="00A1331B">
        <w:rPr>
          <w:rFonts w:ascii="Calibri" w:eastAsia="Calibri" w:hAnsi="Calibri" w:cs="Calibri"/>
          <w:color w:val="000000" w:themeColor="text1"/>
        </w:rPr>
        <w:t xml:space="preserve"> de validación seleccionados con semilla 42 para garantizar la reproducibilidad. La cantidad acotada responde a dos limitaciones operativas: el coste de las llamadas a la API de </w:t>
      </w:r>
      <w:proofErr w:type="spellStart"/>
      <w:r w:rsidRPr="00A1331B">
        <w:rPr>
          <w:rFonts w:ascii="Calibri" w:eastAsia="Calibri" w:hAnsi="Calibri" w:cs="Calibri"/>
          <w:color w:val="000000" w:themeColor="text1"/>
        </w:rPr>
        <w:t>Anthropic</w:t>
      </w:r>
      <w:proofErr w:type="spellEnd"/>
      <w:r w:rsidRPr="00A1331B">
        <w:rPr>
          <w:rFonts w:ascii="Calibri" w:eastAsia="Calibri" w:hAnsi="Calibri" w:cs="Calibri"/>
          <w:color w:val="000000" w:themeColor="text1"/>
        </w:rPr>
        <w:t xml:space="preserve"> asociadas al pipeline </w:t>
      </w:r>
      <w:r w:rsidRPr="00A1331B">
        <w:rPr>
          <w:rFonts w:ascii="Calibri" w:eastAsia="Calibri" w:hAnsi="Calibri" w:cs="Calibri"/>
          <w:color w:val="000000" w:themeColor="text1"/>
        </w:rPr>
        <w:lastRenderedPageBreak/>
        <w:t xml:space="preserve">LLM con recuperación aumentada y el tiempo de evaluación local del modelo NLLB con generación por </w:t>
      </w:r>
      <w:proofErr w:type="spellStart"/>
      <w:r w:rsidRPr="00A1331B">
        <w:rPr>
          <w:rFonts w:ascii="Calibri" w:eastAsia="Calibri" w:hAnsi="Calibri" w:cs="Calibri"/>
          <w:i/>
          <w:iCs/>
          <w:color w:val="000000" w:themeColor="text1"/>
        </w:rPr>
        <w:t>beam</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search</w:t>
      </w:r>
      <w:proofErr w:type="spellEnd"/>
      <w:r w:rsidRPr="00A1331B">
        <w:rPr>
          <w:rFonts w:ascii="Calibri" w:eastAsia="Calibri" w:hAnsi="Calibri" w:cs="Calibri"/>
          <w:color w:val="000000" w:themeColor="text1"/>
        </w:rPr>
        <w:t xml:space="preserve"> de cuatro caminos. Los 564 ejemplos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xml:space="preserve"> completo y los 565 ejemplos </w:t>
      </w:r>
      <w:proofErr w:type="gramStart"/>
      <w:r w:rsidRPr="00A1331B">
        <w:rPr>
          <w:rFonts w:ascii="Calibri" w:eastAsia="Calibri" w:hAnsi="Calibri" w:cs="Calibri"/>
          <w:color w:val="000000" w:themeColor="text1"/>
        </w:rPr>
        <w:t xml:space="preserve">del </w:t>
      </w:r>
      <w:r w:rsidRPr="00A1331B">
        <w:rPr>
          <w:rFonts w:ascii="Calibri" w:eastAsia="Calibri" w:hAnsi="Calibri" w:cs="Calibri"/>
          <w:i/>
          <w:iCs/>
          <w:color w:val="000000" w:themeColor="text1"/>
        </w:rPr>
        <w:t>test</w:t>
      </w:r>
      <w:proofErr w:type="gramEnd"/>
      <w:r w:rsidRPr="00A1331B">
        <w:rPr>
          <w:rFonts w:ascii="Calibri" w:eastAsia="Calibri" w:hAnsi="Calibri" w:cs="Calibri"/>
          <w:i/>
          <w:iCs/>
          <w:color w:val="000000" w:themeColor="text1"/>
        </w:rPr>
        <w:t xml:space="preserve"> set</w:t>
      </w:r>
      <w:r w:rsidRPr="00A1331B">
        <w:rPr>
          <w:rFonts w:ascii="Calibri" w:eastAsia="Calibri" w:hAnsi="Calibri" w:cs="Calibri"/>
          <w:color w:val="000000" w:themeColor="text1"/>
        </w:rPr>
        <w:t xml:space="preserve"> quedan disponibles para extensiones posteriores del trabajo, incluida la validación humana con hablantes nativos.</w:t>
      </w:r>
    </w:p>
    <w:p w14:paraId="2A40648F" w14:textId="01EEB308"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Las cinco configuraciones de la Tabla 4 del Capítulo 3 se evaluaron en las dos direcciones de traducción, totalizando diez corridas. Las métricas empleadas son BLEU corpus-</w:t>
      </w:r>
      <w:proofErr w:type="spellStart"/>
      <w:r w:rsidRPr="00A1331B">
        <w:rPr>
          <w:rFonts w:ascii="Calibri" w:eastAsia="Calibri" w:hAnsi="Calibri" w:cs="Calibri"/>
          <w:color w:val="000000" w:themeColor="text1"/>
        </w:rPr>
        <w:t>level</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sacrebleu</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chrF</w:t>
      </w:r>
      <w:proofErr w:type="spellEnd"/>
      <w:r w:rsidRPr="00A1331B">
        <w:rPr>
          <w:rFonts w:ascii="Calibri" w:eastAsia="Calibri" w:hAnsi="Calibri" w:cs="Calibri"/>
          <w:color w:val="000000" w:themeColor="text1"/>
        </w:rPr>
        <w:t xml:space="preserve">++ con </w:t>
      </w:r>
      <w:proofErr w:type="spellStart"/>
      <w:r w:rsidRPr="00A1331B">
        <w:rPr>
          <w:rFonts w:ascii="Consolas" w:eastAsia="Consolas" w:hAnsi="Consolas" w:cs="Consolas"/>
          <w:color w:val="000000" w:themeColor="text1"/>
        </w:rPr>
        <w:t>word_order</w:t>
      </w:r>
      <w:proofErr w:type="spellEnd"/>
      <w:r w:rsidRPr="00A1331B">
        <w:rPr>
          <w:rFonts w:ascii="Consolas" w:eastAsia="Consolas" w:hAnsi="Consolas" w:cs="Consolas"/>
          <w:color w:val="000000" w:themeColor="text1"/>
        </w:rPr>
        <w:t>=2</w:t>
      </w:r>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sacrebleu</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color w:val="000000" w:themeColor="text1"/>
        </w:rPr>
        <w:t>BERTScore</w:t>
      </w:r>
      <w:proofErr w:type="spellEnd"/>
      <w:r w:rsidRPr="00A1331B">
        <w:rPr>
          <w:rFonts w:ascii="Calibri" w:eastAsia="Calibri" w:hAnsi="Calibri" w:cs="Calibri"/>
          <w:color w:val="000000" w:themeColor="text1"/>
        </w:rPr>
        <w:t xml:space="preserve"> F1 con el modelo XLM-</w:t>
      </w:r>
      <w:proofErr w:type="spellStart"/>
      <w:r w:rsidRPr="00A1331B">
        <w:rPr>
          <w:rFonts w:ascii="Calibri" w:eastAsia="Calibri" w:hAnsi="Calibri" w:cs="Calibri"/>
          <w:color w:val="000000" w:themeColor="text1"/>
        </w:rPr>
        <w:t>RoBERTa</w:t>
      </w:r>
      <w:proofErr w:type="spellEnd"/>
      <w:r w:rsidRPr="00A1331B">
        <w:rPr>
          <w:rFonts w:ascii="Calibri" w:eastAsia="Calibri" w:hAnsi="Calibri" w:cs="Calibri"/>
          <w:color w:val="000000" w:themeColor="text1"/>
        </w:rPr>
        <w:t xml:space="preserve"> multilingüe, configuradas de forma idéntica a las recomendaciones recientes de </w:t>
      </w:r>
      <w:proofErr w:type="spellStart"/>
      <w:r w:rsidRPr="00A1331B">
        <w:rPr>
          <w:rFonts w:ascii="Calibri" w:eastAsia="Calibri" w:hAnsi="Calibri" w:cs="Calibri"/>
          <w:color w:val="000000" w:themeColor="text1"/>
        </w:rPr>
        <w:t>AmericasNLP</w:t>
      </w:r>
      <w:proofErr w:type="spellEnd"/>
      <w:r w:rsidRPr="00A1331B">
        <w:rPr>
          <w:rFonts w:ascii="Calibri" w:eastAsia="Calibri" w:hAnsi="Calibri" w:cs="Calibri"/>
          <w:color w:val="000000" w:themeColor="text1"/>
        </w:rPr>
        <w:t xml:space="preserve"> (Ebrahimi et al., 2024; de Gibert et al., 2025). El pipeline LLM más RAG se ejecutó con Claude </w:t>
      </w:r>
      <w:r w:rsidRPr="00A1331B">
        <w:rPr>
          <w:rFonts w:ascii="Calibri" w:eastAsia="Calibri" w:hAnsi="Calibri" w:cs="Calibri"/>
          <w:b/>
          <w:bCs/>
          <w:color w:val="000000" w:themeColor="text1"/>
        </w:rPr>
        <w:t>Opus 4.7</w:t>
      </w:r>
      <w:r w:rsidRPr="00A1331B">
        <w:rPr>
          <w:rFonts w:ascii="Calibri" w:eastAsia="Calibri" w:hAnsi="Calibri" w:cs="Calibri"/>
          <w:color w:val="000000" w:themeColor="text1"/>
        </w:rPr>
        <w:t xml:space="preserve"> como modelo principal de reporte. Los resultados consolidados se presentan en la Tabla 8.</w:t>
      </w:r>
    </w:p>
    <w:p w14:paraId="035E8F81" w14:textId="1C4F2C79" w:rsidR="00C43711" w:rsidRDefault="00C43711" w:rsidP="00C43711">
      <w:pPr>
        <w:pStyle w:val="Caption"/>
        <w:keepNext/>
      </w:pPr>
      <w:bookmarkStart w:id="127" w:name="_Toc230952649"/>
      <w:bookmarkStart w:id="128" w:name="_Toc233199126"/>
      <w:r>
        <w:t xml:space="preserve">Tabla </w:t>
      </w:r>
      <w:fldSimple w:instr=" SEQ Tabla \* ARABIC ">
        <w:r w:rsidR="0059770D">
          <w:rPr>
            <w:noProof/>
          </w:rPr>
          <w:t>8</w:t>
        </w:r>
      </w:fldSimple>
      <w:r w:rsidRPr="00550F88">
        <w:tab/>
        <w:t xml:space="preserve">Métricas BLEU, </w:t>
      </w:r>
      <w:proofErr w:type="spellStart"/>
      <w:r w:rsidRPr="00550F88">
        <w:t>chrF</w:t>
      </w:r>
      <w:proofErr w:type="spellEnd"/>
      <w:r w:rsidRPr="00550F88">
        <w:t xml:space="preserve">++ y </w:t>
      </w:r>
      <w:proofErr w:type="spellStart"/>
      <w:r w:rsidRPr="00550F88">
        <w:t>BERTScore</w:t>
      </w:r>
      <w:proofErr w:type="spellEnd"/>
      <w:r w:rsidRPr="00550F88">
        <w:t xml:space="preserve"> por configuración y dirección sobre 100 ejemplos del val set</w:t>
      </w:r>
      <w:bookmarkEnd w:id="127"/>
      <w:bookmarkEnd w:id="128"/>
    </w:p>
    <w:tbl>
      <w:tblPr>
        <w:tblStyle w:val="GridTable5Dark-Accent1"/>
        <w:tblW w:w="0" w:type="auto"/>
        <w:tblLook w:val="04A0" w:firstRow="1" w:lastRow="0" w:firstColumn="1" w:lastColumn="0" w:noHBand="0" w:noVBand="1"/>
      </w:tblPr>
      <w:tblGrid>
        <w:gridCol w:w="1800"/>
        <w:gridCol w:w="1800"/>
        <w:gridCol w:w="1800"/>
        <w:gridCol w:w="1800"/>
        <w:gridCol w:w="1800"/>
      </w:tblGrid>
      <w:tr w:rsidR="3DB4A857" w14:paraId="6D4B45A4"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DB3FB43" w14:textId="77777777" w:rsidR="3DB4A857" w:rsidRDefault="3DB4A857" w:rsidP="3DB4A857">
            <w:pPr>
              <w:rPr>
                <w:rFonts w:ascii="Calibri" w:eastAsia="Calibri" w:hAnsi="Calibri" w:cs="Calibri"/>
              </w:rPr>
            </w:pPr>
            <w:proofErr w:type="spellStart"/>
            <w:r w:rsidRPr="3DB4A857">
              <w:rPr>
                <w:rFonts w:ascii="Calibri" w:eastAsia="Calibri" w:hAnsi="Calibri" w:cs="Calibri"/>
              </w:rPr>
              <w:t>Config</w:t>
            </w:r>
            <w:proofErr w:type="spellEnd"/>
          </w:p>
        </w:tc>
        <w:tc>
          <w:tcPr>
            <w:tcW w:w="1800" w:type="dxa"/>
          </w:tcPr>
          <w:p w14:paraId="5CBB2A68"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Direccion</w:t>
            </w:r>
            <w:proofErr w:type="spellEnd"/>
          </w:p>
        </w:tc>
        <w:tc>
          <w:tcPr>
            <w:tcW w:w="1800" w:type="dxa"/>
          </w:tcPr>
          <w:p w14:paraId="1356B54B"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BLEU</w:t>
            </w:r>
          </w:p>
        </w:tc>
        <w:tc>
          <w:tcPr>
            <w:tcW w:w="1800" w:type="dxa"/>
          </w:tcPr>
          <w:p w14:paraId="0075CC1A"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chrF</w:t>
            </w:r>
            <w:proofErr w:type="spellEnd"/>
            <w:r w:rsidRPr="3DB4A857">
              <w:rPr>
                <w:rFonts w:ascii="Calibri" w:eastAsia="Calibri" w:hAnsi="Calibri" w:cs="Calibri"/>
              </w:rPr>
              <w:t>++</w:t>
            </w:r>
          </w:p>
        </w:tc>
        <w:tc>
          <w:tcPr>
            <w:tcW w:w="1800" w:type="dxa"/>
          </w:tcPr>
          <w:p w14:paraId="4223AA5B"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BERTScore</w:t>
            </w:r>
            <w:proofErr w:type="spellEnd"/>
            <w:r w:rsidRPr="3DB4A857">
              <w:rPr>
                <w:rFonts w:ascii="Calibri" w:eastAsia="Calibri" w:hAnsi="Calibri" w:cs="Calibri"/>
              </w:rPr>
              <w:t xml:space="preserve"> F1</w:t>
            </w:r>
          </w:p>
        </w:tc>
      </w:tr>
      <w:tr w:rsidR="3DB4A857" w14:paraId="051BBEDE"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7BBB8F0C" w14:textId="77777777" w:rsidR="3DB4A857" w:rsidRDefault="3DB4A857" w:rsidP="3DB4A857">
            <w:pPr>
              <w:rPr>
                <w:rFonts w:ascii="Calibri" w:eastAsia="Calibri" w:hAnsi="Calibri" w:cs="Calibri"/>
              </w:rPr>
            </w:pPr>
            <w:r w:rsidRPr="3DB4A857">
              <w:rPr>
                <w:rFonts w:ascii="Calibri" w:eastAsia="Calibri" w:hAnsi="Calibri" w:cs="Calibri"/>
              </w:rPr>
              <w:t xml:space="preserve">A: NLLB-200 </w:t>
            </w:r>
            <w:proofErr w:type="spellStart"/>
            <w:r w:rsidRPr="3DB4A857">
              <w:rPr>
                <w:rFonts w:ascii="Calibri" w:eastAsia="Calibri" w:hAnsi="Calibri" w:cs="Calibri"/>
              </w:rPr>
              <w:t>zero-shot</w:t>
            </w:r>
            <w:proofErr w:type="spellEnd"/>
            <w:r w:rsidRPr="3DB4A857">
              <w:rPr>
                <w:rFonts w:ascii="Calibri" w:eastAsia="Calibri" w:hAnsi="Calibri" w:cs="Calibri"/>
              </w:rPr>
              <w:t xml:space="preserve"> (</w:t>
            </w:r>
            <w:proofErr w:type="spellStart"/>
            <w:r w:rsidRPr="3DB4A857">
              <w:rPr>
                <w:rFonts w:ascii="Calibri" w:eastAsia="Calibri" w:hAnsi="Calibri" w:cs="Calibri"/>
              </w:rPr>
              <w:t>quy_Latn</w:t>
            </w:r>
            <w:proofErr w:type="spellEnd"/>
            <w:r w:rsidRPr="3DB4A857">
              <w:rPr>
                <w:rFonts w:ascii="Calibri" w:eastAsia="Calibri" w:hAnsi="Calibri" w:cs="Calibri"/>
              </w:rPr>
              <w:t>)</w:t>
            </w:r>
          </w:p>
        </w:tc>
        <w:tc>
          <w:tcPr>
            <w:tcW w:w="1800" w:type="dxa"/>
          </w:tcPr>
          <w:p w14:paraId="656BC3E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spellStart"/>
            <w:r w:rsidRPr="3DB4A857">
              <w:rPr>
                <w:rFonts w:ascii="Calibri" w:eastAsia="Calibri" w:hAnsi="Calibri" w:cs="Calibri"/>
              </w:rPr>
              <w:t>Espanol</w:t>
            </w:r>
            <w:proofErr w:type="spellEnd"/>
          </w:p>
        </w:tc>
        <w:tc>
          <w:tcPr>
            <w:tcW w:w="1800" w:type="dxa"/>
          </w:tcPr>
          <w:p w14:paraId="7247818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1,82</w:t>
            </w:r>
          </w:p>
        </w:tc>
        <w:tc>
          <w:tcPr>
            <w:tcW w:w="1800" w:type="dxa"/>
          </w:tcPr>
          <w:p w14:paraId="3C42227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19,50</w:t>
            </w:r>
          </w:p>
        </w:tc>
        <w:tc>
          <w:tcPr>
            <w:tcW w:w="1800" w:type="dxa"/>
          </w:tcPr>
          <w:p w14:paraId="50310F1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0,695</w:t>
            </w:r>
          </w:p>
        </w:tc>
      </w:tr>
      <w:tr w:rsidR="3DB4A857" w14:paraId="6FA883CE"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14760D43" w14:textId="77777777" w:rsidR="3DB4A857" w:rsidRDefault="3DB4A857" w:rsidP="3DB4A857">
            <w:pPr>
              <w:rPr>
                <w:rFonts w:ascii="Calibri" w:eastAsia="Calibri" w:hAnsi="Calibri" w:cs="Calibri"/>
              </w:rPr>
            </w:pPr>
            <w:r w:rsidRPr="3DB4A857">
              <w:rPr>
                <w:rFonts w:ascii="Calibri" w:eastAsia="Calibri" w:hAnsi="Calibri" w:cs="Calibri"/>
              </w:rPr>
              <w:t xml:space="preserve">A: NLLB-200 </w:t>
            </w:r>
            <w:proofErr w:type="spellStart"/>
            <w:r w:rsidRPr="3DB4A857">
              <w:rPr>
                <w:rFonts w:ascii="Calibri" w:eastAsia="Calibri" w:hAnsi="Calibri" w:cs="Calibri"/>
              </w:rPr>
              <w:t>zero-shot</w:t>
            </w:r>
            <w:proofErr w:type="spellEnd"/>
            <w:r w:rsidRPr="3DB4A857">
              <w:rPr>
                <w:rFonts w:ascii="Calibri" w:eastAsia="Calibri" w:hAnsi="Calibri" w:cs="Calibri"/>
              </w:rPr>
              <w:t xml:space="preserve"> (</w:t>
            </w:r>
            <w:proofErr w:type="spellStart"/>
            <w:r w:rsidRPr="3DB4A857">
              <w:rPr>
                <w:rFonts w:ascii="Calibri" w:eastAsia="Calibri" w:hAnsi="Calibri" w:cs="Calibri"/>
              </w:rPr>
              <w:t>quy_Latn</w:t>
            </w:r>
            <w:proofErr w:type="spellEnd"/>
            <w:r w:rsidRPr="3DB4A857">
              <w:rPr>
                <w:rFonts w:ascii="Calibri" w:eastAsia="Calibri" w:hAnsi="Calibri" w:cs="Calibri"/>
              </w:rPr>
              <w:t>)</w:t>
            </w:r>
          </w:p>
        </w:tc>
        <w:tc>
          <w:tcPr>
            <w:tcW w:w="1800" w:type="dxa"/>
          </w:tcPr>
          <w:p w14:paraId="0FE7892D"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Espanol</w:t>
            </w:r>
            <w:proofErr w:type="spellEnd"/>
            <w:r w:rsidRPr="3DB4A857">
              <w:rPr>
                <w:rFonts w:ascii="Calibri" w:eastAsia="Calibri" w:hAnsi="Calibri" w:cs="Calibri"/>
              </w:rPr>
              <w:t xml:space="preserve"> -&gt; Inga</w:t>
            </w:r>
          </w:p>
        </w:tc>
        <w:tc>
          <w:tcPr>
            <w:tcW w:w="1800" w:type="dxa"/>
          </w:tcPr>
          <w:p w14:paraId="408641E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0,16</w:t>
            </w:r>
          </w:p>
        </w:tc>
        <w:tc>
          <w:tcPr>
            <w:tcW w:w="1800" w:type="dxa"/>
          </w:tcPr>
          <w:p w14:paraId="799B7B2E"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15,88</w:t>
            </w:r>
          </w:p>
        </w:tc>
        <w:tc>
          <w:tcPr>
            <w:tcW w:w="1800" w:type="dxa"/>
          </w:tcPr>
          <w:p w14:paraId="5CD1975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0,674</w:t>
            </w:r>
          </w:p>
        </w:tc>
      </w:tr>
      <w:tr w:rsidR="3DB4A857" w14:paraId="0AAC5839"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ED55871" w14:textId="77777777" w:rsidR="3DB4A857" w:rsidRDefault="3DB4A857" w:rsidP="3DB4A857">
            <w:pPr>
              <w:rPr>
                <w:rFonts w:ascii="Calibri" w:eastAsia="Calibri" w:hAnsi="Calibri" w:cs="Calibri"/>
              </w:rPr>
            </w:pPr>
            <w:r w:rsidRPr="3DB4A857">
              <w:rPr>
                <w:rFonts w:ascii="Calibri" w:eastAsia="Calibri" w:hAnsi="Calibri" w:cs="Calibri"/>
              </w:rPr>
              <w:t xml:space="preserve">B: NLLB-200 + </w:t>
            </w:r>
            <w:proofErr w:type="spellStart"/>
            <w:r w:rsidRPr="3DB4A857">
              <w:rPr>
                <w:rFonts w:ascii="Calibri" w:eastAsia="Calibri" w:hAnsi="Calibri" w:cs="Calibri"/>
              </w:rPr>
              <w:t>LoRA</w:t>
            </w:r>
            <w:proofErr w:type="spellEnd"/>
            <w:r w:rsidRPr="3DB4A857">
              <w:rPr>
                <w:rFonts w:ascii="Calibri" w:eastAsia="Calibri" w:hAnsi="Calibri" w:cs="Calibri"/>
              </w:rPr>
              <w:t xml:space="preserve"> bidireccional</w:t>
            </w:r>
          </w:p>
        </w:tc>
        <w:tc>
          <w:tcPr>
            <w:tcW w:w="1800" w:type="dxa"/>
          </w:tcPr>
          <w:p w14:paraId="49AEC263"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spellStart"/>
            <w:r w:rsidRPr="3DB4A857">
              <w:rPr>
                <w:rFonts w:ascii="Calibri" w:eastAsia="Calibri" w:hAnsi="Calibri" w:cs="Calibri"/>
              </w:rPr>
              <w:t>Espanol</w:t>
            </w:r>
            <w:proofErr w:type="spellEnd"/>
          </w:p>
        </w:tc>
        <w:tc>
          <w:tcPr>
            <w:tcW w:w="1800" w:type="dxa"/>
          </w:tcPr>
          <w:p w14:paraId="506439EA"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8,18</w:t>
            </w:r>
          </w:p>
        </w:tc>
        <w:tc>
          <w:tcPr>
            <w:tcW w:w="1800" w:type="dxa"/>
          </w:tcPr>
          <w:p w14:paraId="300E99B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27,19</w:t>
            </w:r>
          </w:p>
        </w:tc>
        <w:tc>
          <w:tcPr>
            <w:tcW w:w="1800" w:type="dxa"/>
          </w:tcPr>
          <w:p w14:paraId="3B2B641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0,752</w:t>
            </w:r>
          </w:p>
        </w:tc>
      </w:tr>
      <w:tr w:rsidR="3DB4A857" w14:paraId="09CBC87B"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10C13237" w14:textId="77777777" w:rsidR="3DB4A857" w:rsidRDefault="3DB4A857" w:rsidP="3DB4A857">
            <w:pPr>
              <w:rPr>
                <w:rFonts w:ascii="Calibri" w:eastAsia="Calibri" w:hAnsi="Calibri" w:cs="Calibri"/>
              </w:rPr>
            </w:pPr>
            <w:r w:rsidRPr="3DB4A857">
              <w:rPr>
                <w:rFonts w:ascii="Calibri" w:eastAsia="Calibri" w:hAnsi="Calibri" w:cs="Calibri"/>
              </w:rPr>
              <w:t xml:space="preserve">B: NLLB-200 + </w:t>
            </w:r>
            <w:proofErr w:type="spellStart"/>
            <w:r w:rsidRPr="3DB4A857">
              <w:rPr>
                <w:rFonts w:ascii="Calibri" w:eastAsia="Calibri" w:hAnsi="Calibri" w:cs="Calibri"/>
              </w:rPr>
              <w:t>LoRA</w:t>
            </w:r>
            <w:proofErr w:type="spellEnd"/>
            <w:r w:rsidRPr="3DB4A857">
              <w:rPr>
                <w:rFonts w:ascii="Calibri" w:eastAsia="Calibri" w:hAnsi="Calibri" w:cs="Calibri"/>
              </w:rPr>
              <w:t xml:space="preserve"> bidireccional</w:t>
            </w:r>
          </w:p>
        </w:tc>
        <w:tc>
          <w:tcPr>
            <w:tcW w:w="1800" w:type="dxa"/>
          </w:tcPr>
          <w:p w14:paraId="5EB0219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Espanol</w:t>
            </w:r>
            <w:proofErr w:type="spellEnd"/>
            <w:r w:rsidRPr="3DB4A857">
              <w:rPr>
                <w:rFonts w:ascii="Calibri" w:eastAsia="Calibri" w:hAnsi="Calibri" w:cs="Calibri"/>
              </w:rPr>
              <w:t xml:space="preserve"> -&gt; Inga</w:t>
            </w:r>
          </w:p>
        </w:tc>
        <w:tc>
          <w:tcPr>
            <w:tcW w:w="1800" w:type="dxa"/>
          </w:tcPr>
          <w:p w14:paraId="2605DE9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1,79</w:t>
            </w:r>
          </w:p>
        </w:tc>
        <w:tc>
          <w:tcPr>
            <w:tcW w:w="1800" w:type="dxa"/>
          </w:tcPr>
          <w:p w14:paraId="4A3867C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22,89</w:t>
            </w:r>
          </w:p>
        </w:tc>
        <w:tc>
          <w:tcPr>
            <w:tcW w:w="1800" w:type="dxa"/>
          </w:tcPr>
          <w:p w14:paraId="70F1DD8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0,676</w:t>
            </w:r>
          </w:p>
        </w:tc>
      </w:tr>
      <w:tr w:rsidR="3DB4A857" w14:paraId="1285CC21"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69D6BAB9" w14:textId="77777777" w:rsidR="3DB4A857" w:rsidRDefault="3DB4A857" w:rsidP="3DB4A857">
            <w:pPr>
              <w:rPr>
                <w:rFonts w:ascii="Calibri" w:eastAsia="Calibri" w:hAnsi="Calibri" w:cs="Calibri"/>
              </w:rPr>
            </w:pPr>
            <w:r w:rsidRPr="3DB4A857">
              <w:rPr>
                <w:rFonts w:ascii="Calibri" w:eastAsia="Calibri" w:hAnsi="Calibri" w:cs="Calibri"/>
              </w:rPr>
              <w:lastRenderedPageBreak/>
              <w:t xml:space="preserve">C: Claude Opus 4.7 </w:t>
            </w:r>
            <w:proofErr w:type="spellStart"/>
            <w:r w:rsidRPr="3DB4A857">
              <w:rPr>
                <w:rFonts w:ascii="Calibri" w:eastAsia="Calibri" w:hAnsi="Calibri" w:cs="Calibri"/>
              </w:rPr>
              <w:t>zero-shot</w:t>
            </w:r>
            <w:proofErr w:type="spellEnd"/>
          </w:p>
        </w:tc>
        <w:tc>
          <w:tcPr>
            <w:tcW w:w="1800" w:type="dxa"/>
          </w:tcPr>
          <w:p w14:paraId="6DC6333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spellStart"/>
            <w:r w:rsidRPr="3DB4A857">
              <w:rPr>
                <w:rFonts w:ascii="Calibri" w:eastAsia="Calibri" w:hAnsi="Calibri" w:cs="Calibri"/>
              </w:rPr>
              <w:t>Espanol</w:t>
            </w:r>
            <w:proofErr w:type="spellEnd"/>
          </w:p>
        </w:tc>
        <w:tc>
          <w:tcPr>
            <w:tcW w:w="1800" w:type="dxa"/>
          </w:tcPr>
          <w:p w14:paraId="67A7569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4,37</w:t>
            </w:r>
          </w:p>
        </w:tc>
        <w:tc>
          <w:tcPr>
            <w:tcW w:w="1800" w:type="dxa"/>
          </w:tcPr>
          <w:p w14:paraId="19B1ACB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29,45</w:t>
            </w:r>
          </w:p>
        </w:tc>
        <w:tc>
          <w:tcPr>
            <w:tcW w:w="1800" w:type="dxa"/>
          </w:tcPr>
          <w:p w14:paraId="503B6B0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0,736</w:t>
            </w:r>
          </w:p>
        </w:tc>
      </w:tr>
      <w:tr w:rsidR="3DB4A857" w14:paraId="14787CB8"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1F4C6A3" w14:textId="77777777" w:rsidR="3DB4A857" w:rsidRDefault="3DB4A857" w:rsidP="3DB4A857">
            <w:pPr>
              <w:rPr>
                <w:rFonts w:ascii="Calibri" w:eastAsia="Calibri" w:hAnsi="Calibri" w:cs="Calibri"/>
              </w:rPr>
            </w:pPr>
            <w:r w:rsidRPr="3DB4A857">
              <w:rPr>
                <w:rFonts w:ascii="Calibri" w:eastAsia="Calibri" w:hAnsi="Calibri" w:cs="Calibri"/>
              </w:rPr>
              <w:t xml:space="preserve">C: Claude Opus 4.7 </w:t>
            </w:r>
            <w:proofErr w:type="spellStart"/>
            <w:r w:rsidRPr="3DB4A857">
              <w:rPr>
                <w:rFonts w:ascii="Calibri" w:eastAsia="Calibri" w:hAnsi="Calibri" w:cs="Calibri"/>
              </w:rPr>
              <w:t>zero-shot</w:t>
            </w:r>
            <w:proofErr w:type="spellEnd"/>
          </w:p>
        </w:tc>
        <w:tc>
          <w:tcPr>
            <w:tcW w:w="1800" w:type="dxa"/>
          </w:tcPr>
          <w:p w14:paraId="16751AFB"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Espanol</w:t>
            </w:r>
            <w:proofErr w:type="spellEnd"/>
            <w:r w:rsidRPr="3DB4A857">
              <w:rPr>
                <w:rFonts w:ascii="Calibri" w:eastAsia="Calibri" w:hAnsi="Calibri" w:cs="Calibri"/>
              </w:rPr>
              <w:t xml:space="preserve"> -&gt; Inga</w:t>
            </w:r>
          </w:p>
        </w:tc>
        <w:tc>
          <w:tcPr>
            <w:tcW w:w="1800" w:type="dxa"/>
          </w:tcPr>
          <w:p w14:paraId="2598D8C4"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0,32</w:t>
            </w:r>
          </w:p>
        </w:tc>
        <w:tc>
          <w:tcPr>
            <w:tcW w:w="1800" w:type="dxa"/>
          </w:tcPr>
          <w:p w14:paraId="73C098E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21,75</w:t>
            </w:r>
          </w:p>
        </w:tc>
        <w:tc>
          <w:tcPr>
            <w:tcW w:w="1800" w:type="dxa"/>
          </w:tcPr>
          <w:p w14:paraId="3EB72E5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0,722</w:t>
            </w:r>
          </w:p>
        </w:tc>
      </w:tr>
      <w:tr w:rsidR="3DB4A857" w14:paraId="119AE5C2"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6D556786" w14:textId="77777777" w:rsidR="3DB4A857" w:rsidRDefault="3DB4A857" w:rsidP="3DB4A857">
            <w:pPr>
              <w:rPr>
                <w:rFonts w:ascii="Calibri" w:eastAsia="Calibri" w:hAnsi="Calibri" w:cs="Calibri"/>
              </w:rPr>
            </w:pPr>
            <w:r>
              <w:rPr>
                <w:rFonts w:ascii="Calibri" w:eastAsia="Calibri" w:hAnsi="Calibri" w:cs="Calibri"/>
              </w:rPr>
              <w:t>D: Claude Opus 4.7 + RAG multi-indice</w:t>
            </w:r>
          </w:p>
        </w:tc>
        <w:tc>
          <w:tcPr>
            <w:tcW w:w="1800" w:type="dxa"/>
          </w:tcPr>
          <w:p w14:paraId="007160DE" w14:textId="62BFD749"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gramStart"/>
            <w:r w:rsidR="002F086E" w:rsidRPr="3DB4A857">
              <w:rPr>
                <w:rFonts w:ascii="Calibri" w:eastAsia="Calibri" w:hAnsi="Calibri" w:cs="Calibri"/>
              </w:rPr>
              <w:t>Español</w:t>
            </w:r>
            <w:proofErr w:type="gramEnd"/>
          </w:p>
        </w:tc>
        <w:tc>
          <w:tcPr>
            <w:tcW w:w="1800" w:type="dxa"/>
          </w:tcPr>
          <w:p w14:paraId="189DC864" w14:textId="30D5EA25"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17,89</w:t>
            </w:r>
          </w:p>
        </w:tc>
        <w:tc>
          <w:tcPr>
            <w:tcW w:w="1800" w:type="dxa"/>
          </w:tcPr>
          <w:p w14:paraId="781D7074" w14:textId="4837287C"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43,28</w:t>
            </w:r>
          </w:p>
        </w:tc>
        <w:tc>
          <w:tcPr>
            <w:tcW w:w="1800" w:type="dxa"/>
          </w:tcPr>
          <w:p w14:paraId="1C700C77" w14:textId="7691833B"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0,790</w:t>
            </w:r>
          </w:p>
        </w:tc>
      </w:tr>
      <w:tr w:rsidR="3DB4A857" w14:paraId="0A3E404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7E6D039D" w14:textId="77777777" w:rsidR="3DB4A857" w:rsidRDefault="3DB4A857" w:rsidP="3DB4A857">
            <w:pPr>
              <w:rPr>
                <w:rFonts w:ascii="Calibri" w:eastAsia="Calibri" w:hAnsi="Calibri" w:cs="Calibri"/>
              </w:rPr>
            </w:pPr>
            <w:r>
              <w:rPr>
                <w:rFonts w:ascii="Calibri" w:eastAsia="Calibri" w:hAnsi="Calibri" w:cs="Calibri"/>
              </w:rPr>
              <w:t>D: Claude Opus 4.7 + RAG multi-indice</w:t>
            </w:r>
          </w:p>
        </w:tc>
        <w:tc>
          <w:tcPr>
            <w:tcW w:w="1800" w:type="dxa"/>
          </w:tcPr>
          <w:p w14:paraId="37308A75" w14:textId="0F467E63" w:rsidR="3DB4A857" w:rsidRDefault="002F086E"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w:t>
            </w:r>
            <w:r w:rsidR="3DB4A857" w:rsidRPr="3DB4A857">
              <w:rPr>
                <w:rFonts w:ascii="Calibri" w:eastAsia="Calibri" w:hAnsi="Calibri" w:cs="Calibri"/>
              </w:rPr>
              <w:t xml:space="preserve"> -&gt; Inga</w:t>
            </w:r>
          </w:p>
        </w:tc>
        <w:tc>
          <w:tcPr>
            <w:tcW w:w="1800" w:type="dxa"/>
          </w:tcPr>
          <w:p w14:paraId="5C3C7E0C" w14:textId="2BAD65DF"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10,95</w:t>
            </w:r>
          </w:p>
        </w:tc>
        <w:tc>
          <w:tcPr>
            <w:tcW w:w="1800" w:type="dxa"/>
          </w:tcPr>
          <w:p w14:paraId="17BC8082" w14:textId="742EE153"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38,19</w:t>
            </w:r>
          </w:p>
        </w:tc>
        <w:tc>
          <w:tcPr>
            <w:tcW w:w="1800" w:type="dxa"/>
          </w:tcPr>
          <w:p w14:paraId="359AAF27" w14:textId="1093093A"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0,788</w:t>
            </w:r>
          </w:p>
        </w:tc>
      </w:tr>
      <w:tr w:rsidR="3DB4A857" w14:paraId="6BE81BB5"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1135178D"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Opus 4.7 + RAG (refinamiento)</w:t>
            </w:r>
          </w:p>
        </w:tc>
        <w:tc>
          <w:tcPr>
            <w:tcW w:w="1800" w:type="dxa"/>
          </w:tcPr>
          <w:p w14:paraId="3CD52655" w14:textId="02498F43"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gramStart"/>
            <w:r w:rsidRPr="3DB4A857">
              <w:rPr>
                <w:rFonts w:ascii="Calibri" w:eastAsia="Calibri" w:hAnsi="Calibri" w:cs="Calibri"/>
              </w:rPr>
              <w:t>Espa</w:t>
            </w:r>
            <w:r w:rsidR="002F086E">
              <w:rPr>
                <w:rFonts w:ascii="Calibri" w:eastAsia="Calibri" w:hAnsi="Calibri" w:cs="Calibri"/>
              </w:rPr>
              <w:t>ñ</w:t>
            </w:r>
            <w:r w:rsidRPr="3DB4A857">
              <w:rPr>
                <w:rFonts w:ascii="Calibri" w:eastAsia="Calibri" w:hAnsi="Calibri" w:cs="Calibri"/>
              </w:rPr>
              <w:t>ol</w:t>
            </w:r>
            <w:proofErr w:type="gramEnd"/>
          </w:p>
        </w:tc>
        <w:tc>
          <w:tcPr>
            <w:tcW w:w="1800" w:type="dxa"/>
          </w:tcPr>
          <w:p w14:paraId="582C67D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10,88</w:t>
            </w:r>
          </w:p>
        </w:tc>
        <w:tc>
          <w:tcPr>
            <w:tcW w:w="1800" w:type="dxa"/>
          </w:tcPr>
          <w:p w14:paraId="3A99731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37,55</w:t>
            </w:r>
          </w:p>
        </w:tc>
        <w:tc>
          <w:tcPr>
            <w:tcW w:w="1800" w:type="dxa"/>
          </w:tcPr>
          <w:p w14:paraId="2BE0D8C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0,770</w:t>
            </w:r>
          </w:p>
        </w:tc>
      </w:tr>
      <w:tr w:rsidR="3DB4A857" w14:paraId="563405B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427BE66A"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Opus 4.7 + RAG (refinamiento)</w:t>
            </w:r>
          </w:p>
        </w:tc>
        <w:tc>
          <w:tcPr>
            <w:tcW w:w="1800" w:type="dxa"/>
          </w:tcPr>
          <w:p w14:paraId="26434D7F" w14:textId="22F27B71"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w:t>
            </w:r>
            <w:r w:rsidR="002F086E">
              <w:rPr>
                <w:rFonts w:ascii="Calibri" w:eastAsia="Calibri" w:hAnsi="Calibri" w:cs="Calibri"/>
              </w:rPr>
              <w:t>ñ</w:t>
            </w:r>
            <w:r w:rsidRPr="3DB4A857">
              <w:rPr>
                <w:rFonts w:ascii="Calibri" w:eastAsia="Calibri" w:hAnsi="Calibri" w:cs="Calibri"/>
              </w:rPr>
              <w:t>ol -&gt; Inga</w:t>
            </w:r>
          </w:p>
        </w:tc>
        <w:tc>
          <w:tcPr>
            <w:tcW w:w="1800" w:type="dxa"/>
          </w:tcPr>
          <w:p w14:paraId="7F00C49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9,98</w:t>
            </w:r>
          </w:p>
        </w:tc>
        <w:tc>
          <w:tcPr>
            <w:tcW w:w="1800" w:type="dxa"/>
          </w:tcPr>
          <w:p w14:paraId="5B82012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39,00</w:t>
            </w:r>
          </w:p>
        </w:tc>
        <w:tc>
          <w:tcPr>
            <w:tcW w:w="1800" w:type="dxa"/>
          </w:tcPr>
          <w:p w14:paraId="25735FEE"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0,790</w:t>
            </w:r>
          </w:p>
        </w:tc>
      </w:tr>
    </w:tbl>
    <w:p w14:paraId="24CC895D"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Elaboración propia a partir de los Notebooks 10 y 11. Las cifras en negrita corresponden a la configuración con el valor más alto por métrica y dirección. El pipeline LLM se ejecutó con Claude Opus 4.7 como modelo principal de reporte; la corrida paralela con Claude Sonnet 4.6 sobre el mismo conjunto de validación se consigna en el Anexo A.</w:t>
      </w:r>
    </w:p>
    <w:p w14:paraId="55BE71A0"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comparación entre los dos modelos de Claude evaluados sobre exactamente el mismo subconjunto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xml:space="preserve"> permite cuantificar el efecto del escalado del modelo subyacente. Los resultados se sintetizan en la Tabla 9.</w:t>
      </w:r>
    </w:p>
    <w:p w14:paraId="0619F3DA" w14:textId="5B1B3437" w:rsidR="00C43711" w:rsidRDefault="00C43711" w:rsidP="00C43711">
      <w:pPr>
        <w:pStyle w:val="Caption"/>
        <w:keepNext/>
      </w:pPr>
      <w:bookmarkStart w:id="129" w:name="_Toc230952650"/>
      <w:bookmarkStart w:id="130" w:name="_Toc233199127"/>
      <w:r>
        <w:lastRenderedPageBreak/>
        <w:t xml:space="preserve">Tabla </w:t>
      </w:r>
      <w:fldSimple w:instr=" SEQ Tabla \* ARABIC ">
        <w:r w:rsidR="0059770D">
          <w:rPr>
            <w:noProof/>
          </w:rPr>
          <w:t>9</w:t>
        </w:r>
      </w:fldSimple>
      <w:r>
        <w:t xml:space="preserve">  </w:t>
      </w:r>
      <w:r w:rsidRPr="00851929">
        <w:t>Comparación intra-Claude (Sonnet 4.6 frente a Opus 4.7) sobre el mismo conjunto de validación, métricas BLEU</w:t>
      </w:r>
      <w:bookmarkEnd w:id="129"/>
      <w:bookmarkEnd w:id="130"/>
    </w:p>
    <w:tbl>
      <w:tblPr>
        <w:tblStyle w:val="GridTable4-Accent1"/>
        <w:tblW w:w="0" w:type="auto"/>
        <w:tblLook w:val="04A0" w:firstRow="1" w:lastRow="0" w:firstColumn="1" w:lastColumn="0" w:noHBand="0" w:noVBand="1"/>
      </w:tblPr>
      <w:tblGrid>
        <w:gridCol w:w="1800"/>
        <w:gridCol w:w="1800"/>
        <w:gridCol w:w="1800"/>
        <w:gridCol w:w="1800"/>
        <w:gridCol w:w="1800"/>
      </w:tblGrid>
      <w:tr w:rsidR="3DB4A857" w14:paraId="27E5B72A"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CAC94D0" w14:textId="77777777" w:rsidR="3DB4A857" w:rsidRDefault="3DB4A857" w:rsidP="3DB4A857">
            <w:pPr>
              <w:rPr>
                <w:rFonts w:ascii="Calibri" w:eastAsia="Calibri" w:hAnsi="Calibri" w:cs="Calibri"/>
              </w:rPr>
            </w:pPr>
            <w:r w:rsidRPr="3DB4A857">
              <w:rPr>
                <w:rFonts w:ascii="Calibri" w:eastAsia="Calibri" w:hAnsi="Calibri" w:cs="Calibri"/>
              </w:rPr>
              <w:t>Configuración</w:t>
            </w:r>
          </w:p>
        </w:tc>
        <w:tc>
          <w:tcPr>
            <w:tcW w:w="1800" w:type="dxa"/>
          </w:tcPr>
          <w:p w14:paraId="73D5C640"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Dirección</w:t>
            </w:r>
          </w:p>
        </w:tc>
        <w:tc>
          <w:tcPr>
            <w:tcW w:w="1800" w:type="dxa"/>
          </w:tcPr>
          <w:p w14:paraId="6B238B85"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Sonnet 4.6</w:t>
            </w:r>
          </w:p>
        </w:tc>
        <w:tc>
          <w:tcPr>
            <w:tcW w:w="1800" w:type="dxa"/>
          </w:tcPr>
          <w:p w14:paraId="4DAC5A56"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Opus 4.7</w:t>
            </w:r>
          </w:p>
        </w:tc>
        <w:tc>
          <w:tcPr>
            <w:tcW w:w="1800" w:type="dxa"/>
          </w:tcPr>
          <w:p w14:paraId="68127A2B"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Δ Opus−Sonnet</w:t>
            </w:r>
          </w:p>
        </w:tc>
      </w:tr>
      <w:tr w:rsidR="3DB4A857" w14:paraId="604ABDD2"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2B07D2E" w14:textId="77777777" w:rsidR="3DB4A857" w:rsidRDefault="3DB4A857" w:rsidP="3DB4A857">
            <w:pPr>
              <w:rPr>
                <w:rFonts w:ascii="Calibri" w:eastAsia="Calibri" w:hAnsi="Calibri" w:cs="Calibri"/>
              </w:rPr>
            </w:pPr>
            <w:r w:rsidRPr="3DB4A857">
              <w:rPr>
                <w:rFonts w:ascii="Calibri" w:eastAsia="Calibri" w:hAnsi="Calibri" w:cs="Calibri"/>
              </w:rPr>
              <w:t xml:space="preserve">C: Claude </w:t>
            </w:r>
            <w:proofErr w:type="spellStart"/>
            <w:r w:rsidRPr="3DB4A857">
              <w:rPr>
                <w:rFonts w:ascii="Calibri" w:eastAsia="Calibri" w:hAnsi="Calibri" w:cs="Calibri"/>
              </w:rPr>
              <w:t>zero-shot</w:t>
            </w:r>
            <w:proofErr w:type="spellEnd"/>
          </w:p>
        </w:tc>
        <w:tc>
          <w:tcPr>
            <w:tcW w:w="1800" w:type="dxa"/>
          </w:tcPr>
          <w:p w14:paraId="37BF2D0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 </w:t>
            </w:r>
            <w:proofErr w:type="gramStart"/>
            <w:r w:rsidRPr="3DB4A857">
              <w:rPr>
                <w:rFonts w:ascii="Calibri" w:eastAsia="Calibri" w:hAnsi="Calibri" w:cs="Calibri"/>
              </w:rPr>
              <w:t>Español</w:t>
            </w:r>
            <w:proofErr w:type="gramEnd"/>
          </w:p>
        </w:tc>
        <w:tc>
          <w:tcPr>
            <w:tcW w:w="1800" w:type="dxa"/>
          </w:tcPr>
          <w:p w14:paraId="3C2EF47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5,17</w:t>
            </w:r>
          </w:p>
        </w:tc>
        <w:tc>
          <w:tcPr>
            <w:tcW w:w="1800" w:type="dxa"/>
          </w:tcPr>
          <w:p w14:paraId="7064E59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4,37</w:t>
            </w:r>
          </w:p>
        </w:tc>
        <w:tc>
          <w:tcPr>
            <w:tcW w:w="1800" w:type="dxa"/>
          </w:tcPr>
          <w:p w14:paraId="69C9082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−0,80</w:t>
            </w:r>
          </w:p>
        </w:tc>
      </w:tr>
      <w:tr w:rsidR="3DB4A857" w14:paraId="1C067C46"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E611295" w14:textId="77777777" w:rsidR="3DB4A857" w:rsidRDefault="3DB4A857" w:rsidP="3DB4A857">
            <w:pPr>
              <w:rPr>
                <w:rFonts w:ascii="Calibri" w:eastAsia="Calibri" w:hAnsi="Calibri" w:cs="Calibri"/>
              </w:rPr>
            </w:pPr>
            <w:r w:rsidRPr="3DB4A857">
              <w:rPr>
                <w:rFonts w:ascii="Calibri" w:eastAsia="Calibri" w:hAnsi="Calibri" w:cs="Calibri"/>
              </w:rPr>
              <w:t xml:space="preserve">C: Claude </w:t>
            </w:r>
            <w:proofErr w:type="spellStart"/>
            <w:r w:rsidRPr="3DB4A857">
              <w:rPr>
                <w:rFonts w:ascii="Calibri" w:eastAsia="Calibri" w:hAnsi="Calibri" w:cs="Calibri"/>
              </w:rPr>
              <w:t>zero-shot</w:t>
            </w:r>
            <w:proofErr w:type="spellEnd"/>
          </w:p>
        </w:tc>
        <w:tc>
          <w:tcPr>
            <w:tcW w:w="1800" w:type="dxa"/>
          </w:tcPr>
          <w:p w14:paraId="5D12AA2E"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30178E9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0,27</w:t>
            </w:r>
          </w:p>
        </w:tc>
        <w:tc>
          <w:tcPr>
            <w:tcW w:w="1800" w:type="dxa"/>
          </w:tcPr>
          <w:p w14:paraId="12C4FAB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0,32</w:t>
            </w:r>
          </w:p>
        </w:tc>
        <w:tc>
          <w:tcPr>
            <w:tcW w:w="1800" w:type="dxa"/>
          </w:tcPr>
          <w:p w14:paraId="29D2EE2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+0,05</w:t>
            </w:r>
          </w:p>
        </w:tc>
      </w:tr>
      <w:tr w:rsidR="3DB4A857" w14:paraId="24492E6D"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FDA4ED0" w14:textId="77777777" w:rsidR="3DB4A857" w:rsidRDefault="3DB4A857" w:rsidP="3DB4A857">
            <w:pPr>
              <w:rPr>
                <w:rFonts w:ascii="Calibri" w:eastAsia="Calibri" w:hAnsi="Calibri" w:cs="Calibri"/>
              </w:rPr>
            </w:pPr>
            <w:r w:rsidRPr="3DB4A857">
              <w:rPr>
                <w:rFonts w:ascii="Calibri" w:eastAsia="Calibri" w:hAnsi="Calibri" w:cs="Calibri"/>
              </w:rPr>
              <w:t>D: Claude + RAG</w:t>
            </w:r>
          </w:p>
        </w:tc>
        <w:tc>
          <w:tcPr>
            <w:tcW w:w="1800" w:type="dxa"/>
          </w:tcPr>
          <w:p w14:paraId="350E630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 </w:t>
            </w:r>
            <w:proofErr w:type="gramStart"/>
            <w:r w:rsidRPr="3DB4A857">
              <w:rPr>
                <w:rFonts w:ascii="Calibri" w:eastAsia="Calibri" w:hAnsi="Calibri" w:cs="Calibri"/>
              </w:rPr>
              <w:t>Español</w:t>
            </w:r>
            <w:proofErr w:type="gramEnd"/>
          </w:p>
        </w:tc>
        <w:tc>
          <w:tcPr>
            <w:tcW w:w="1800" w:type="dxa"/>
          </w:tcPr>
          <w:p w14:paraId="03FA82E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11,97</w:t>
            </w:r>
          </w:p>
        </w:tc>
        <w:tc>
          <w:tcPr>
            <w:tcW w:w="1800" w:type="dxa"/>
          </w:tcPr>
          <w:p w14:paraId="3C7C8C9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17,89</w:t>
            </w:r>
          </w:p>
        </w:tc>
        <w:tc>
          <w:tcPr>
            <w:tcW w:w="1800" w:type="dxa"/>
          </w:tcPr>
          <w:p w14:paraId="112A714C" w14:textId="66433499" w:rsidR="3DB4A857" w:rsidRPr="002F086E"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2F086E">
              <w:rPr>
                <w:rFonts w:ascii="Calibri" w:eastAsia="Calibri" w:hAnsi="Calibri" w:cs="Calibri"/>
                <w:b/>
                <w:bCs/>
              </w:rPr>
              <w:t>+5,92</w:t>
            </w:r>
          </w:p>
        </w:tc>
      </w:tr>
      <w:tr w:rsidR="3DB4A857" w14:paraId="44E703B6"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686DFD2" w14:textId="77777777" w:rsidR="3DB4A857" w:rsidRDefault="3DB4A857" w:rsidP="3DB4A857">
            <w:pPr>
              <w:rPr>
                <w:rFonts w:ascii="Calibri" w:eastAsia="Calibri" w:hAnsi="Calibri" w:cs="Calibri"/>
              </w:rPr>
            </w:pPr>
            <w:r w:rsidRPr="3DB4A857">
              <w:rPr>
                <w:rFonts w:ascii="Calibri" w:eastAsia="Calibri" w:hAnsi="Calibri" w:cs="Calibri"/>
              </w:rPr>
              <w:t>D: Claude + RAG</w:t>
            </w:r>
          </w:p>
        </w:tc>
        <w:tc>
          <w:tcPr>
            <w:tcW w:w="1800" w:type="dxa"/>
          </w:tcPr>
          <w:p w14:paraId="1F45351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3D115C0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8,22</w:t>
            </w:r>
          </w:p>
        </w:tc>
        <w:tc>
          <w:tcPr>
            <w:tcW w:w="1800" w:type="dxa"/>
          </w:tcPr>
          <w:p w14:paraId="5E03B794"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10,95</w:t>
            </w:r>
          </w:p>
        </w:tc>
        <w:tc>
          <w:tcPr>
            <w:tcW w:w="1800" w:type="dxa"/>
          </w:tcPr>
          <w:p w14:paraId="4FA69676" w14:textId="40CB52CB" w:rsidR="3DB4A857" w:rsidRPr="002F086E"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2F086E">
              <w:rPr>
                <w:rFonts w:ascii="Calibri" w:eastAsia="Calibri" w:hAnsi="Calibri" w:cs="Calibri"/>
                <w:b/>
                <w:bCs/>
              </w:rPr>
              <w:t>+2,73</w:t>
            </w:r>
          </w:p>
        </w:tc>
      </w:tr>
      <w:tr w:rsidR="3DB4A857" w14:paraId="1BED0A06"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6D862499"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 RAG (refinamiento)</w:t>
            </w:r>
          </w:p>
        </w:tc>
        <w:tc>
          <w:tcPr>
            <w:tcW w:w="1800" w:type="dxa"/>
          </w:tcPr>
          <w:p w14:paraId="4E36E65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 </w:t>
            </w:r>
            <w:proofErr w:type="gramStart"/>
            <w:r w:rsidRPr="3DB4A857">
              <w:rPr>
                <w:rFonts w:ascii="Calibri" w:eastAsia="Calibri" w:hAnsi="Calibri" w:cs="Calibri"/>
              </w:rPr>
              <w:t>Español</w:t>
            </w:r>
            <w:proofErr w:type="gramEnd"/>
          </w:p>
        </w:tc>
        <w:tc>
          <w:tcPr>
            <w:tcW w:w="1800" w:type="dxa"/>
          </w:tcPr>
          <w:p w14:paraId="2B303D1A"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12,01</w:t>
            </w:r>
          </w:p>
        </w:tc>
        <w:tc>
          <w:tcPr>
            <w:tcW w:w="1800" w:type="dxa"/>
          </w:tcPr>
          <w:p w14:paraId="74A4D493"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10,88</w:t>
            </w:r>
          </w:p>
        </w:tc>
        <w:tc>
          <w:tcPr>
            <w:tcW w:w="1800" w:type="dxa"/>
          </w:tcPr>
          <w:p w14:paraId="727C0C3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−1,13</w:t>
            </w:r>
          </w:p>
        </w:tc>
      </w:tr>
      <w:tr w:rsidR="3DB4A857" w14:paraId="422A60A4"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6FA647A4"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 RAG (refinamiento)</w:t>
            </w:r>
          </w:p>
        </w:tc>
        <w:tc>
          <w:tcPr>
            <w:tcW w:w="1800" w:type="dxa"/>
          </w:tcPr>
          <w:p w14:paraId="5917590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6FBE9A4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8,82</w:t>
            </w:r>
          </w:p>
        </w:tc>
        <w:tc>
          <w:tcPr>
            <w:tcW w:w="1800" w:type="dxa"/>
          </w:tcPr>
          <w:p w14:paraId="7E31C65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9,98</w:t>
            </w:r>
          </w:p>
        </w:tc>
        <w:tc>
          <w:tcPr>
            <w:tcW w:w="1800" w:type="dxa"/>
          </w:tcPr>
          <w:p w14:paraId="569235E4"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+1,16</w:t>
            </w:r>
          </w:p>
        </w:tc>
      </w:tr>
    </w:tbl>
    <w:p w14:paraId="6ECA543C"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Elaboración propia. Diferencias positivas a favor de Opus 4.7 en negrita.</w:t>
      </w:r>
    </w:p>
    <w:p w14:paraId="630E67C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patrón es revelador: el modelo de mayor capacidad obtiene su ventaja principal cuando dispone de contexto recuperado relevante (configuración D), donde alcanza una mejora cercana a 6 puntos BLEU en la dirección Inga-español. En ausencia de contexto (configuración C) los dos modelos rinden prácticamente igual; cuando el </w:t>
      </w:r>
      <w:proofErr w:type="spellStart"/>
      <w:r w:rsidRPr="00A1331B">
        <w:rPr>
          <w:rFonts w:ascii="Calibri" w:eastAsia="Calibri" w:hAnsi="Calibri" w:cs="Calibri"/>
          <w:i/>
          <w:iCs/>
          <w:color w:val="000000" w:themeColor="text1"/>
        </w:rPr>
        <w:t>seed</w:t>
      </w:r>
      <w:proofErr w:type="spellEnd"/>
      <w:r w:rsidRPr="00A1331B">
        <w:rPr>
          <w:rFonts w:ascii="Calibri" w:eastAsia="Calibri" w:hAnsi="Calibri" w:cs="Calibri"/>
          <w:color w:val="000000" w:themeColor="text1"/>
        </w:rPr>
        <w:t xml:space="preserve"> del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introduce errores léxicos (configuración E), el modelo menos avanzado preserva el </w:t>
      </w:r>
      <w:proofErr w:type="spellStart"/>
      <w:r w:rsidRPr="00A1331B">
        <w:rPr>
          <w:rFonts w:ascii="Calibri" w:eastAsia="Calibri" w:hAnsi="Calibri" w:cs="Calibri"/>
          <w:i/>
          <w:iCs/>
          <w:color w:val="000000" w:themeColor="text1"/>
        </w:rPr>
        <w:t>seed</w:t>
      </w:r>
      <w:proofErr w:type="spellEnd"/>
      <w:r w:rsidRPr="00A1331B">
        <w:rPr>
          <w:rFonts w:ascii="Calibri" w:eastAsia="Calibri" w:hAnsi="Calibri" w:cs="Calibri"/>
          <w:color w:val="000000" w:themeColor="text1"/>
        </w:rPr>
        <w:t xml:space="preserve"> con mayor fidelidad y obtiene un BLEU ligeramente superior. La observación complementa el análisis que se desarrolla en el Capítulo 5.</w:t>
      </w:r>
    </w:p>
    <w:p w14:paraId="3AAFF903"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Cinco hallazgos se derivan de esta tabla.</w:t>
      </w:r>
    </w:p>
    <w:p w14:paraId="0BF0B904"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lastRenderedPageBreak/>
        <w:t xml:space="preserve">Primero, la configuración D (Claude Opus 4.7 con recuperación aumentada multi-índice) obtiene el mejor desempeño en las dos direcciones de traducción y en las tres métricas reportadas. En la dirección Inga-español alcanza 17,89 puntos BLEU, 43,28 puntos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0,790 de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cifras que sitúan al sistema en el lado alto del rango reportado por la literatura reciente para variantes quechuas con corpus comparables (Chen et al., 2024; </w:t>
      </w:r>
      <w:proofErr w:type="spellStart"/>
      <w:r w:rsidRPr="3DB4A857">
        <w:rPr>
          <w:rFonts w:ascii="Calibri" w:eastAsia="Calibri" w:hAnsi="Calibri" w:cs="Calibri"/>
          <w:color w:val="000000" w:themeColor="text1"/>
        </w:rPr>
        <w:t>Garcia</w:t>
      </w:r>
      <w:proofErr w:type="spellEnd"/>
      <w:r w:rsidRPr="3DB4A857">
        <w:rPr>
          <w:rFonts w:ascii="Calibri" w:eastAsia="Calibri" w:hAnsi="Calibri" w:cs="Calibri"/>
          <w:color w:val="000000" w:themeColor="text1"/>
        </w:rPr>
        <w:t xml:space="preserve"> Gilabert et al., 2024).</w:t>
      </w:r>
    </w:p>
    <w:p w14:paraId="2CF68886"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Segundo, la recuperación aumentada actúa como factor multiplicador de la calidad del modelo de frontera. El paso de la configuración C (Opus 4.7 sin RAG) a la configuración D mejora el BLEU de 4,37 a 17,89 en Inga-español, una ganancia de 13,5 puntos absolutos, y de 0,32 a 10,95 en español-Inga, una ganancia de 10,6 puntos. Este resultado confirma empíricamente la premisa del paradigma RAG-MT introducido por Wang et al. (2024) en el escenario específico de una lengua de recursos extremadamente bajos.</w:t>
      </w:r>
    </w:p>
    <w:p w14:paraId="08E04DC1"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 xml:space="preserve">Tercero, el ajuste fino del modelo multilingüe (configuración B) ofrece una mejora sólida sobre el modelo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(configuración A) en la dirección Inga-español, donde el BLEU pasa de 1,82 a 8,18, un factor de 4,5x. La mejora en la dirección español-Inga es de mucha menor magnitud, de 0,16 a 1,79, debido al modo de fallo de repetición patológica descrito en la sección 4.4. La asimetría confirma que la generación de la lengua con datos escasos es estructuralmente más difícil que el reconocimiento de la lengua en el extremo fuente.</w:t>
      </w:r>
    </w:p>
    <w:p w14:paraId="2013AD1F"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 xml:space="preserve">Cuarto, la configuración E (refinamiento de la salida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por Claude Opus 4.7 con RAG) no supera a la configuración D directa. En Inga-español, E obtiene 10,88 BLEU frente a los 17,89 de D, una pérdida de 7,0 puntos. En español-Inga las dos configuraciones quedan próximas (9,98 frente a 10,95). El resultado sugiere que la salida del adaptador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cuando se ofrece como semilla al modelo de frontera, induce un sesgo hacia traducciones menos fieles que la referencia, posiblemente porque el modelo de frontera tiende a respetar la estructura del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en lugar de reescribir desde cero. La inspección manual de varios ejemplos muestra que Opus 4.7 hereda errores léxicos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y propaga ajustes solo en el plano sintáctico, lo que penaliza las métricas basadas en </w:t>
      </w:r>
      <w:r w:rsidRPr="3DB4A857">
        <w:rPr>
          <w:rFonts w:ascii="Calibri" w:eastAsia="Calibri" w:hAnsi="Calibri" w:cs="Calibri"/>
          <w:i/>
          <w:iCs/>
          <w:color w:val="000000" w:themeColor="text1"/>
        </w:rPr>
        <w:t>n-grama</w:t>
      </w:r>
      <w:r w:rsidRPr="3DB4A857">
        <w:rPr>
          <w:rFonts w:ascii="Calibri" w:eastAsia="Calibri" w:hAnsi="Calibri" w:cs="Calibri"/>
          <w:color w:val="000000" w:themeColor="text1"/>
        </w:rPr>
        <w:t>.</w:t>
      </w:r>
    </w:p>
    <w:p w14:paraId="2DE54718"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lastRenderedPageBreak/>
        <w:t xml:space="preserve">Quinto,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presenta menor variación entre configuraciones que BLEU y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lo cual es esperable dado que opera sobre representaciones contextuales que toleran reformulaciones semánticamente equivalentes. El rango de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abarca de 0,674 (configuración A en español-Inga) a 0,790 (configuración D en Inga-español y configuración E en español-Inga). Esta compresión sugiere que las configuraciones evaluadas, incluso aquellas con BLEU muy bajo, producen salidas semánticamente parcialmente relacionadas con la referencia y que la diferencia perceptual entre ellas se concentra en la corrección léxica y morfológica capturada por las métricas basadas en superficie.</w:t>
      </w:r>
    </w:p>
    <w:p w14:paraId="4FE52C79" w14:textId="77777777" w:rsidR="005E627C" w:rsidRDefault="384FA2C3" w:rsidP="00A1331B">
      <w:pPr>
        <w:keepNext/>
        <w:ind w:left="360"/>
      </w:pPr>
      <w:r>
        <w:rPr>
          <w:noProof/>
        </w:rPr>
        <w:drawing>
          <wp:inline distT="0" distB="0" distL="0" distR="0" wp14:anchorId="21D1EC5B" wp14:editId="14458EC4">
            <wp:extent cx="5038725" cy="1666875"/>
            <wp:effectExtent l="0" t="0" r="0" b="0"/>
            <wp:docPr id="620620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20689" name="Picture 620620689"/>
                    <pic:cNvPicPr/>
                  </pic:nvPicPr>
                  <pic:blipFill>
                    <a:blip r:embed="rId22">
                      <a:extLst>
                        <a:ext uri="{28A0092B-C50C-407E-A947-70E740481C1C}">
                          <a14:useLocalDpi xmlns:a14="http://schemas.microsoft.com/office/drawing/2010/main"/>
                        </a:ext>
                      </a:extLst>
                    </a:blip>
                    <a:stretch>
                      <a:fillRect/>
                    </a:stretch>
                  </pic:blipFill>
                  <pic:spPr>
                    <a:xfrm>
                      <a:off x="0" y="0"/>
                      <a:ext cx="5038725" cy="1666875"/>
                    </a:xfrm>
                    <a:prstGeom prst="rect">
                      <a:avLst/>
                    </a:prstGeom>
                  </pic:spPr>
                </pic:pic>
              </a:graphicData>
            </a:graphic>
          </wp:inline>
        </w:drawing>
      </w:r>
    </w:p>
    <w:p w14:paraId="25E8061C" w14:textId="46DBD177" w:rsidR="00C43711" w:rsidRDefault="005E627C" w:rsidP="005E627C">
      <w:pPr>
        <w:pStyle w:val="Caption"/>
        <w:jc w:val="center"/>
      </w:pPr>
      <w:bookmarkStart w:id="131" w:name="_Toc230953004"/>
      <w:bookmarkStart w:id="132" w:name="_Toc230961093"/>
      <w:bookmarkStart w:id="133" w:name="_Toc233199118"/>
      <w:r>
        <w:t xml:space="preserve">Figura </w:t>
      </w:r>
      <w:fldSimple w:instr=" SEQ Ilustración \* ARABIC ">
        <w:r w:rsidR="0059770D">
          <w:rPr>
            <w:noProof/>
          </w:rPr>
          <w:t>11</w:t>
        </w:r>
      </w:fldSimple>
      <w:r>
        <w:t xml:space="preserve"> </w:t>
      </w:r>
      <w:r w:rsidRPr="002C63A3">
        <w:t xml:space="preserve">Comparativa de BLEU, </w:t>
      </w:r>
      <w:proofErr w:type="spellStart"/>
      <w:r w:rsidRPr="002C63A3">
        <w:t>chrF</w:t>
      </w:r>
      <w:proofErr w:type="spellEnd"/>
      <w:r w:rsidRPr="002C63A3">
        <w:t xml:space="preserve">++ y </w:t>
      </w:r>
      <w:proofErr w:type="spellStart"/>
      <w:r w:rsidRPr="002C63A3">
        <w:t>BERTScore</w:t>
      </w:r>
      <w:proofErr w:type="spellEnd"/>
      <w:r w:rsidRPr="002C63A3">
        <w:t xml:space="preserve"> por configuración y dirección</w:t>
      </w:r>
      <w:bookmarkEnd w:id="131"/>
      <w:bookmarkEnd w:id="132"/>
      <w:bookmarkEnd w:id="133"/>
    </w:p>
    <w:p w14:paraId="513F2614" w14:textId="77777777" w:rsidR="00636E09" w:rsidRPr="0059770D"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 xml:space="preserve">Elaboración propia a partir del Notebook 11. Cada panel corresponde a una métrica; las barras azules indican la dirección Inga-español y las rojas la dirección español-Inga. </w:t>
      </w:r>
      <w:r w:rsidRPr="0059770D">
        <w:rPr>
          <w:rFonts w:eastAsia="Calibri" w:cs="Calibri"/>
          <w:iCs w:val="0"/>
          <w:szCs w:val="19"/>
          <w:lang w:val="es-CO"/>
        </w:rPr>
        <w:t>La configuración D destaca consistentemente en los tres paneles.</w:t>
      </w:r>
    </w:p>
    <w:p w14:paraId="7EA4B929"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34" w:name="_Toc233199099"/>
      <w:r>
        <w:rPr>
          <w:rFonts w:ascii="Calibri Light" w:eastAsia="Calibri Light" w:hAnsi="Calibri Light" w:cs="Calibri Light"/>
          <w:b w:val="0"/>
          <w:bCs w:val="0"/>
          <w:color w:val="000000" w:themeColor="text1"/>
          <w:szCs w:val="24"/>
        </w:rPr>
        <w:t>4.6.1 Análisis cualitativo de las traducciones</w:t>
      </w:r>
      <w:bookmarkEnd w:id="134"/>
    </w:p>
    <w:p w14:paraId="10604951"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Las métricas automáticas de la Tabla 8 ordenan las configuraciones, pero no explican por qué una gana. BLEU y chrF++ miden solape de n-gramas frente a una referencia única, y BERTScore mide cercanía semántica en un espacio contextual; ninguna de las tres dice si el sistema generó Inga o si, por el contrario, devolvió una lengua emparentada pero distinta. Para responder esa clase de preguntas se inspeccionaron manualmente las predicciones de las cinco configuraciones sobre una muestra del conjunto de validación, guardadas en datos/predicciones_val_completo.jsonl. De esa inspección salen cuatro patrones que conviene documentar, porque cada uno matiza la lectura de las cifras.</w:t>
      </w:r>
    </w:p>
    <w:p w14:paraId="58E95FCC"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lastRenderedPageBreak/>
        <w:t>Degeneración del modelo multilingüe sin adaptar.</w:t>
      </w:r>
      <w:r w:rsidRPr="00A1331B">
        <w:rPr>
          <w:rFonts w:ascii="Calibri" w:eastAsia="Calibri" w:hAnsi="Calibri" w:cs="Calibri"/>
          <w:color w:val="000000" w:themeColor="text1"/>
        </w:rPr>
        <w:t xml:space="preserve"> La configuración A (NLLB-200-distilled-600M en </w:t>
      </w:r>
      <w:proofErr w:type="spellStart"/>
      <w:r w:rsidRPr="00A1331B">
        <w:rPr>
          <w:rFonts w:ascii="Calibri" w:eastAsia="Calibri" w:hAnsi="Calibri" w:cs="Calibri"/>
          <w:color w:val="000000" w:themeColor="text1"/>
        </w:rPr>
        <w:t>zero-shot</w:t>
      </w:r>
      <w:proofErr w:type="spellEnd"/>
      <w:r w:rsidRPr="00A1331B">
        <w:rPr>
          <w:rFonts w:ascii="Calibri" w:eastAsia="Calibri" w:hAnsi="Calibri" w:cs="Calibri"/>
          <w:color w:val="000000" w:themeColor="text1"/>
        </w:rPr>
        <w:t>) cae con frecuencia en bucles de repetición cuando la oración de entrada es larga. En Tito 2:3, una entrada Inga de varias cláusulas, la salida en español repite "a todas las que no hablan" más de diez veces hasta agotar la ventana de decodificación. El fenómeno es conocido en decodificación neuronal y se agrava cuando el modelo no reconoce bien el idioma de origen: al no tener un punto de anclaje semántico, el decodificador se queda atrapado en el token de mayor probabilidad local. Es el tipo de error que BLEU penaliza con dureza, y explica buena parte de la distancia entre la configuración A y el resto en oraciones largas. En oraciones cortas, en cambio, el mismo modelo se comporta de forma aceptable, como se verá enseguida.</w:t>
      </w:r>
    </w:p>
    <w:p w14:paraId="0C0CF7DE"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El problema de la lengua incorrecta en la dirección español-Inga.</w:t>
      </w:r>
      <w:r w:rsidRPr="00A1331B">
        <w:rPr>
          <w:rFonts w:ascii="Calibri" w:eastAsia="Calibri" w:hAnsi="Calibri" w:cs="Calibri"/>
          <w:color w:val="000000" w:themeColor="text1"/>
        </w:rPr>
        <w:t xml:space="preserve"> Este es el hallazgo cualitativo más relevante del trabajo, y no se aprecia bien solo con las métricas. Cuando se pide traducir del español al Inga, los sistemas que carecen de anclaje al Inga del Putumayo no devuelven una traducción mala: devuelven una traducción a otra lengua quechua. La Tabla 10 lo ilustra con Juan 4:32. La configuración A produce "</w:t>
      </w:r>
      <w:proofErr w:type="spellStart"/>
      <w:r w:rsidRPr="00A1331B">
        <w:rPr>
          <w:rFonts w:ascii="Calibri" w:eastAsia="Calibri" w:hAnsi="Calibri" w:cs="Calibri"/>
          <w:color w:val="000000" w:themeColor="text1"/>
        </w:rPr>
        <w:t>Jesustaq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paykunata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nirqan</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Qankuna</w:t>
      </w:r>
      <w:proofErr w:type="spellEnd"/>
      <w:r w:rsidRPr="00A1331B">
        <w:rPr>
          <w:rFonts w:ascii="Calibri" w:eastAsia="Calibri" w:hAnsi="Calibri" w:cs="Calibri"/>
          <w:color w:val="000000" w:themeColor="text1"/>
        </w:rPr>
        <w:t xml:space="preserve"> mana </w:t>
      </w:r>
      <w:proofErr w:type="spellStart"/>
      <w:r w:rsidRPr="00A1331B">
        <w:rPr>
          <w:rFonts w:ascii="Calibri" w:eastAsia="Calibri" w:hAnsi="Calibri" w:cs="Calibri"/>
          <w:color w:val="000000" w:themeColor="text1"/>
        </w:rPr>
        <w:t>reqsiq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kanaykichispaq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mikhuq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kani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nispa</w:t>
      </w:r>
      <w:proofErr w:type="spellEnd"/>
      <w:r w:rsidRPr="00A1331B">
        <w:rPr>
          <w:rFonts w:ascii="Calibri" w:eastAsia="Calibri" w:hAnsi="Calibri" w:cs="Calibri"/>
          <w:color w:val="000000" w:themeColor="text1"/>
        </w:rPr>
        <w:t>", que es quechua sureño (cuzco-colla): las marcas -</w:t>
      </w:r>
      <w:proofErr w:type="spellStart"/>
      <w:r w:rsidRPr="00A1331B">
        <w:rPr>
          <w:rFonts w:ascii="Calibri" w:eastAsia="Calibri" w:hAnsi="Calibri" w:cs="Calibri"/>
          <w:color w:val="000000" w:themeColor="text1"/>
        </w:rPr>
        <w:t>qa</w:t>
      </w:r>
      <w:proofErr w:type="spellEnd"/>
      <w:r w:rsidRPr="00A1331B">
        <w:rPr>
          <w:rFonts w:ascii="Calibri" w:eastAsia="Calibri" w:hAnsi="Calibri" w:cs="Calibri"/>
          <w:color w:val="000000" w:themeColor="text1"/>
        </w:rPr>
        <w:t>, -</w:t>
      </w:r>
      <w:proofErr w:type="spellStart"/>
      <w:r w:rsidRPr="00A1331B">
        <w:rPr>
          <w:rFonts w:ascii="Calibri" w:eastAsia="Calibri" w:hAnsi="Calibri" w:cs="Calibri"/>
          <w:color w:val="000000" w:themeColor="text1"/>
        </w:rPr>
        <w:t>mi</w:t>
      </w:r>
      <w:proofErr w:type="spellEnd"/>
      <w:r w:rsidRPr="00A1331B">
        <w:rPr>
          <w:rFonts w:ascii="Calibri" w:eastAsia="Calibri" w:hAnsi="Calibri" w:cs="Calibri"/>
          <w:color w:val="000000" w:themeColor="text1"/>
        </w:rPr>
        <w:t>, el sufijo -</w:t>
      </w:r>
      <w:proofErr w:type="spellStart"/>
      <w:r w:rsidRPr="00A1331B">
        <w:rPr>
          <w:rFonts w:ascii="Calibri" w:eastAsia="Calibri" w:hAnsi="Calibri" w:cs="Calibri"/>
          <w:color w:val="000000" w:themeColor="text1"/>
        </w:rPr>
        <w:t>nispa</w:t>
      </w:r>
      <w:proofErr w:type="spellEnd"/>
      <w:r w:rsidRPr="00A1331B">
        <w:rPr>
          <w:rFonts w:ascii="Calibri" w:eastAsia="Calibri" w:hAnsi="Calibri" w:cs="Calibri"/>
          <w:color w:val="000000" w:themeColor="text1"/>
        </w:rPr>
        <w:t xml:space="preserve"> y la grafía con </w:t>
      </w:r>
      <w:proofErr w:type="spellStart"/>
      <w:r w:rsidRPr="00A1331B">
        <w:rPr>
          <w:rFonts w:ascii="Calibri" w:eastAsia="Calibri" w:hAnsi="Calibri" w:cs="Calibri"/>
          <w:color w:val="000000" w:themeColor="text1"/>
        </w:rPr>
        <w:t>qh</w:t>
      </w:r>
      <w:proofErr w:type="spellEnd"/>
      <w:r w:rsidRPr="00A1331B">
        <w:rPr>
          <w:rFonts w:ascii="Calibri" w:eastAsia="Calibri" w:hAnsi="Calibri" w:cs="Calibri"/>
          <w:color w:val="000000" w:themeColor="text1"/>
        </w:rPr>
        <w:t xml:space="preserve"> delatan la variante de mayor presencia en los datos de preentrenamiento de NLLB. La configuración C (Claude sin recuperación) deriva hacia el </w:t>
      </w:r>
      <w:proofErr w:type="spellStart"/>
      <w:r w:rsidRPr="00A1331B">
        <w:rPr>
          <w:rFonts w:ascii="Calibri" w:eastAsia="Calibri" w:hAnsi="Calibri" w:cs="Calibri"/>
          <w:color w:val="000000" w:themeColor="text1"/>
        </w:rPr>
        <w:t>kichwa</w:t>
      </w:r>
      <w:proofErr w:type="spellEnd"/>
      <w:r w:rsidRPr="00A1331B">
        <w:rPr>
          <w:rFonts w:ascii="Calibri" w:eastAsia="Calibri" w:hAnsi="Calibri" w:cs="Calibri"/>
          <w:color w:val="000000" w:themeColor="text1"/>
        </w:rPr>
        <w:t xml:space="preserve"> ecuatoriano, con formas como "</w:t>
      </w:r>
      <w:proofErr w:type="spellStart"/>
      <w:r w:rsidRPr="00A1331B">
        <w:rPr>
          <w:rFonts w:ascii="Calibri" w:eastAsia="Calibri" w:hAnsi="Calibri" w:cs="Calibri"/>
          <w:color w:val="000000" w:themeColor="text1"/>
        </w:rPr>
        <w:t>paicunaman</w:t>
      </w:r>
      <w:proofErr w:type="spellEnd"/>
      <w:r w:rsidRPr="00A1331B">
        <w:rPr>
          <w:rFonts w:ascii="Calibri" w:eastAsia="Calibri" w:hAnsi="Calibri" w:cs="Calibri"/>
          <w:color w:val="000000" w:themeColor="text1"/>
        </w:rPr>
        <w:t>", "</w:t>
      </w:r>
      <w:proofErr w:type="spellStart"/>
      <w:r w:rsidRPr="00A1331B">
        <w:rPr>
          <w:rFonts w:ascii="Calibri" w:eastAsia="Calibri" w:hAnsi="Calibri" w:cs="Calibri"/>
          <w:color w:val="000000" w:themeColor="text1"/>
        </w:rPr>
        <w:t>nirca</w:t>
      </w:r>
      <w:proofErr w:type="spellEnd"/>
      <w:r w:rsidRPr="00A1331B">
        <w:rPr>
          <w:rFonts w:ascii="Calibri" w:eastAsia="Calibri" w:hAnsi="Calibri" w:cs="Calibri"/>
          <w:color w:val="000000" w:themeColor="text1"/>
        </w:rPr>
        <w:t>" y "</w:t>
      </w:r>
      <w:proofErr w:type="spellStart"/>
      <w:r w:rsidRPr="00A1331B">
        <w:rPr>
          <w:rFonts w:ascii="Calibri" w:eastAsia="Calibri" w:hAnsi="Calibri" w:cs="Calibri"/>
          <w:color w:val="000000" w:themeColor="text1"/>
        </w:rPr>
        <w:t>yachanguichicchu</w:t>
      </w:r>
      <w:proofErr w:type="spellEnd"/>
      <w:r w:rsidRPr="00A1331B">
        <w:rPr>
          <w:rFonts w:ascii="Calibri" w:eastAsia="Calibri" w:hAnsi="Calibri" w:cs="Calibri"/>
          <w:color w:val="000000" w:themeColor="text1"/>
        </w:rPr>
        <w:t>". Solo cuando entra la recuperación aumentada, en la configuración D, la salida se acerca al Inga del Putumayo: "</w:t>
      </w:r>
      <w:proofErr w:type="spellStart"/>
      <w:r w:rsidRPr="00A1331B">
        <w:rPr>
          <w:rFonts w:ascii="Calibri" w:eastAsia="Calibri" w:hAnsi="Calibri" w:cs="Calibri"/>
          <w:color w:val="000000" w:themeColor="text1"/>
        </w:rPr>
        <w:t>Paika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painakunata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nirka</w:t>
      </w:r>
      <w:proofErr w:type="spellEnd"/>
      <w:r w:rsidRPr="00A1331B">
        <w:rPr>
          <w:rFonts w:ascii="Calibri" w:eastAsia="Calibri" w:hAnsi="Calibri" w:cs="Calibri"/>
          <w:color w:val="000000" w:themeColor="text1"/>
        </w:rPr>
        <w:t xml:space="preserve">: Nukaka </w:t>
      </w:r>
      <w:proofErr w:type="spellStart"/>
      <w:r w:rsidRPr="00A1331B">
        <w:rPr>
          <w:rFonts w:ascii="Calibri" w:eastAsia="Calibri" w:hAnsi="Calibri" w:cs="Calibri"/>
          <w:color w:val="000000" w:themeColor="text1"/>
        </w:rPr>
        <w:t>mikungapa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mikuika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tian</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kamkunaka</w:t>
      </w:r>
      <w:proofErr w:type="spellEnd"/>
      <w:r w:rsidRPr="00A1331B">
        <w:rPr>
          <w:rFonts w:ascii="Calibri" w:eastAsia="Calibri" w:hAnsi="Calibri" w:cs="Calibri"/>
          <w:color w:val="000000" w:themeColor="text1"/>
        </w:rPr>
        <w:t xml:space="preserve"> mana </w:t>
      </w:r>
      <w:proofErr w:type="spellStart"/>
      <w:r w:rsidRPr="00A1331B">
        <w:rPr>
          <w:rFonts w:ascii="Calibri" w:eastAsia="Calibri" w:hAnsi="Calibri" w:cs="Calibri"/>
          <w:color w:val="000000" w:themeColor="text1"/>
        </w:rPr>
        <w:t>yachangichu</w:t>
      </w:r>
      <w:proofErr w:type="spellEnd"/>
      <w:r w:rsidRPr="00A1331B">
        <w:rPr>
          <w:rFonts w:ascii="Calibri" w:eastAsia="Calibri" w:hAnsi="Calibri" w:cs="Calibri"/>
          <w:color w:val="000000" w:themeColor="text1"/>
        </w:rPr>
        <w:t xml:space="preserve">", con el pronombre </w:t>
      </w:r>
      <w:proofErr w:type="spellStart"/>
      <w:r w:rsidRPr="00A1331B">
        <w:rPr>
          <w:rFonts w:ascii="Calibri" w:eastAsia="Calibri" w:hAnsi="Calibri" w:cs="Calibri"/>
          <w:color w:val="000000" w:themeColor="text1"/>
        </w:rPr>
        <w:t>nuka</w:t>
      </w:r>
      <w:proofErr w:type="spellEnd"/>
      <w:r w:rsidRPr="00A1331B">
        <w:rPr>
          <w:rFonts w:ascii="Calibri" w:eastAsia="Calibri" w:hAnsi="Calibri" w:cs="Calibri"/>
          <w:color w:val="000000" w:themeColor="text1"/>
        </w:rPr>
        <w:t xml:space="preserve">, la grafía </w:t>
      </w:r>
      <w:proofErr w:type="spellStart"/>
      <w:r w:rsidRPr="00A1331B">
        <w:rPr>
          <w:rFonts w:ascii="Calibri" w:eastAsia="Calibri" w:hAnsi="Calibri" w:cs="Calibri"/>
          <w:color w:val="000000" w:themeColor="text1"/>
        </w:rPr>
        <w:t>tian</w:t>
      </w:r>
      <w:proofErr w:type="spellEnd"/>
      <w:r w:rsidRPr="00A1331B">
        <w:rPr>
          <w:rFonts w:ascii="Calibri" w:eastAsia="Calibri" w:hAnsi="Calibri" w:cs="Calibri"/>
          <w:color w:val="000000" w:themeColor="text1"/>
        </w:rPr>
        <w:t xml:space="preserve"> y la morfología que aparecen en el corpus paralelo. El contexto recuperado no solo mejora el contenido: reorienta la salida hacia la variante correcta de una familia lingüística con docenas de variantes mutuamente ininteligibles.</w:t>
      </w:r>
    </w:p>
    <w:p w14:paraId="688DC28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mismo efecto aparece en el artículo 10 de la Constitución, "El castellano es el idioma oficial de Colombia". La configuración A devuelve "</w:t>
      </w:r>
      <w:proofErr w:type="spellStart"/>
      <w:r w:rsidRPr="00A1331B">
        <w:rPr>
          <w:rFonts w:ascii="Calibri" w:eastAsia="Calibri" w:hAnsi="Calibri" w:cs="Calibri"/>
          <w:color w:val="000000" w:themeColor="text1"/>
        </w:rPr>
        <w:t>Kastillanuqa</w:t>
      </w:r>
      <w:proofErr w:type="spellEnd"/>
      <w:r w:rsidRPr="00A1331B">
        <w:rPr>
          <w:rFonts w:ascii="Calibri" w:eastAsia="Calibri" w:hAnsi="Calibri" w:cs="Calibri"/>
          <w:color w:val="000000" w:themeColor="text1"/>
        </w:rPr>
        <w:t xml:space="preserve"> Colombia </w:t>
      </w:r>
      <w:proofErr w:type="spellStart"/>
      <w:r w:rsidRPr="00A1331B">
        <w:rPr>
          <w:rFonts w:ascii="Calibri" w:eastAsia="Calibri" w:hAnsi="Calibri" w:cs="Calibri"/>
          <w:color w:val="000000" w:themeColor="text1"/>
        </w:rPr>
        <w:t>suyupi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rimaymi</w:t>
      </w:r>
      <w:proofErr w:type="spellEnd"/>
      <w:r w:rsidRPr="00A1331B">
        <w:rPr>
          <w:rFonts w:ascii="Calibri" w:eastAsia="Calibri" w:hAnsi="Calibri" w:cs="Calibri"/>
          <w:color w:val="000000" w:themeColor="text1"/>
        </w:rPr>
        <w:t>", de nuevo quechua sureño (</w:t>
      </w:r>
      <w:proofErr w:type="spellStart"/>
      <w:r w:rsidRPr="00A1331B">
        <w:rPr>
          <w:rFonts w:ascii="Calibri" w:eastAsia="Calibri" w:hAnsi="Calibri" w:cs="Calibri"/>
          <w:color w:val="000000" w:themeColor="text1"/>
        </w:rPr>
        <w:t>suyu</w:t>
      </w:r>
      <w:proofErr w:type="spellEnd"/>
      <w:r w:rsidRPr="00A1331B">
        <w:rPr>
          <w:rFonts w:ascii="Calibri" w:eastAsia="Calibri" w:hAnsi="Calibri" w:cs="Calibri"/>
          <w:color w:val="000000" w:themeColor="text1"/>
        </w:rPr>
        <w:t xml:space="preserve"> por territorio, el enclítico -</w:t>
      </w:r>
      <w:proofErr w:type="spellStart"/>
      <w:r w:rsidRPr="00A1331B">
        <w:rPr>
          <w:rFonts w:ascii="Calibri" w:eastAsia="Calibri" w:hAnsi="Calibri" w:cs="Calibri"/>
          <w:color w:val="000000" w:themeColor="text1"/>
        </w:rPr>
        <w:t>qa</w:t>
      </w:r>
      <w:proofErr w:type="spellEnd"/>
      <w:r w:rsidRPr="00A1331B">
        <w:rPr>
          <w:rFonts w:ascii="Calibri" w:eastAsia="Calibri" w:hAnsi="Calibri" w:cs="Calibri"/>
          <w:color w:val="000000" w:themeColor="text1"/>
        </w:rPr>
        <w:t>). La configuración D produce "</w:t>
      </w:r>
      <w:proofErr w:type="spellStart"/>
      <w:r w:rsidRPr="00A1331B">
        <w:rPr>
          <w:rFonts w:ascii="Calibri" w:eastAsia="Calibri" w:hAnsi="Calibri" w:cs="Calibri"/>
          <w:color w:val="000000" w:themeColor="text1"/>
        </w:rPr>
        <w:t>Kastilla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simi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kami</w:t>
      </w:r>
      <w:proofErr w:type="spellEnd"/>
      <w:r w:rsidRPr="00A1331B">
        <w:rPr>
          <w:rFonts w:ascii="Calibri" w:eastAsia="Calibri" w:hAnsi="Calibri" w:cs="Calibri"/>
          <w:color w:val="000000" w:themeColor="text1"/>
        </w:rPr>
        <w:t xml:space="preserve"> Kulumbia </w:t>
      </w:r>
      <w:proofErr w:type="spellStart"/>
      <w:r w:rsidRPr="00A1331B">
        <w:rPr>
          <w:rFonts w:ascii="Calibri" w:eastAsia="Calibri" w:hAnsi="Calibri" w:cs="Calibri"/>
          <w:color w:val="000000" w:themeColor="text1"/>
        </w:rPr>
        <w:t>llagtapi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kawsag</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tukui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runakunapata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rimai</w:t>
      </w:r>
      <w:proofErr w:type="spellEnd"/>
      <w:r w:rsidRPr="00A1331B">
        <w:rPr>
          <w:rFonts w:ascii="Calibri" w:eastAsia="Calibri" w:hAnsi="Calibri" w:cs="Calibri"/>
          <w:color w:val="000000" w:themeColor="text1"/>
        </w:rPr>
        <w:t xml:space="preserve">", con </w:t>
      </w:r>
      <w:proofErr w:type="spellStart"/>
      <w:r w:rsidRPr="00A1331B">
        <w:rPr>
          <w:rFonts w:ascii="Calibri" w:eastAsia="Calibri" w:hAnsi="Calibri" w:cs="Calibri"/>
          <w:color w:val="000000" w:themeColor="text1"/>
        </w:rPr>
        <w:t>llagta</w:t>
      </w:r>
      <w:proofErr w:type="spellEnd"/>
      <w:r w:rsidRPr="00A1331B">
        <w:rPr>
          <w:rFonts w:ascii="Calibri" w:eastAsia="Calibri" w:hAnsi="Calibri" w:cs="Calibri"/>
          <w:color w:val="000000" w:themeColor="text1"/>
        </w:rPr>
        <w:t xml:space="preserve"> y la grafía </w:t>
      </w:r>
      <w:proofErr w:type="spellStart"/>
      <w:r w:rsidRPr="00A1331B">
        <w:rPr>
          <w:rFonts w:ascii="Calibri" w:eastAsia="Calibri" w:hAnsi="Calibri" w:cs="Calibri"/>
          <w:color w:val="000000" w:themeColor="text1"/>
        </w:rPr>
        <w:t>Kulumbia</w:t>
      </w:r>
      <w:proofErr w:type="spellEnd"/>
      <w:r w:rsidRPr="00A1331B">
        <w:rPr>
          <w:rFonts w:ascii="Calibri" w:eastAsia="Calibri" w:hAnsi="Calibri" w:cs="Calibri"/>
          <w:color w:val="000000" w:themeColor="text1"/>
        </w:rPr>
        <w:t xml:space="preserve"> </w:t>
      </w:r>
      <w:r w:rsidRPr="00A1331B">
        <w:rPr>
          <w:rFonts w:ascii="Calibri" w:eastAsia="Calibri" w:hAnsi="Calibri" w:cs="Calibri"/>
          <w:color w:val="000000" w:themeColor="text1"/>
        </w:rPr>
        <w:lastRenderedPageBreak/>
        <w:t>propias del material Inga indexado. Que el ejemplo provenga del corpus jurídico, y no del Nuevo Testamento, sugiere que el anclaje por recuperación funciona también fuera del dominio bíblico que domina el corpus.</w:t>
      </w:r>
    </w:p>
    <w:p w14:paraId="216DC9A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El aporte concreto de la recuperación.</w:t>
      </w:r>
      <w:r w:rsidRPr="00A1331B">
        <w:rPr>
          <w:rFonts w:ascii="Calibri" w:eastAsia="Calibri" w:hAnsi="Calibri" w:cs="Calibri"/>
          <w:color w:val="000000" w:themeColor="text1"/>
        </w:rPr>
        <w:t xml:space="preserve"> Más allá de la elección de variante, el contexto recuperado aporta terminología y resuelve ambigüedades léxicas. En las inspecciones se observa que los ejemplos recuperados del índice paralelo actúan como plantillas morfológicas: cuando 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encuentra un versículo de estructura parecida, Claude reutiliza sus terminaciones verbales y sus posposiciones. Esto encaja con lo que reportan Enis y Hopkins (2024) sobre el uso de Claude para traducción de bajos recursos mediante ejemplos en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y con la propuesta general de recuperación aumentada de Lewis et al. (2020): el conocimiento no está en los pesos del modelo sino en lo que se le pasa en tiempo de inferencia.</w:t>
      </w:r>
    </w:p>
    <w:p w14:paraId="0BDE067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Lo que todavía falla en la mejor configuración.</w:t>
      </w:r>
      <w:r w:rsidRPr="00A1331B">
        <w:rPr>
          <w:rFonts w:ascii="Calibri" w:eastAsia="Calibri" w:hAnsi="Calibri" w:cs="Calibri"/>
          <w:color w:val="000000" w:themeColor="text1"/>
        </w:rPr>
        <w:t xml:space="preserve"> Conviene no sobrevender la configuración D. En la dirección Inga-español sigue cometiendo errores de referencia (confunde sujetos en oraciones con varias cláusulas subordinadas) y, en español-Inga, </w:t>
      </w:r>
      <w:proofErr w:type="gramStart"/>
      <w:r w:rsidRPr="00A1331B">
        <w:rPr>
          <w:rFonts w:ascii="Calibri" w:eastAsia="Calibri" w:hAnsi="Calibri" w:cs="Calibri"/>
          <w:color w:val="000000" w:themeColor="text1"/>
        </w:rPr>
        <w:t>alterna grafías</w:t>
      </w:r>
      <w:proofErr w:type="gramEnd"/>
      <w:r w:rsidRPr="00A1331B">
        <w:rPr>
          <w:rFonts w:ascii="Calibri" w:eastAsia="Calibri" w:hAnsi="Calibri" w:cs="Calibri"/>
          <w:color w:val="000000" w:themeColor="text1"/>
        </w:rPr>
        <w:t xml:space="preserve"> dentro de una misma oración cuando los ejemplos recuperados no son homogéneos. El caso de la Constitución muestra otra grieta: la palabra Inga de origen se interpretó como derivada de "</w:t>
      </w:r>
      <w:proofErr w:type="spellStart"/>
      <w:r w:rsidRPr="00A1331B">
        <w:rPr>
          <w:rFonts w:ascii="Calibri" w:eastAsia="Calibri" w:hAnsi="Calibri" w:cs="Calibri"/>
          <w:color w:val="000000" w:themeColor="text1"/>
        </w:rPr>
        <w:t>iura</w:t>
      </w:r>
      <w:proofErr w:type="spellEnd"/>
      <w:r w:rsidRPr="00A1331B">
        <w:rPr>
          <w:rFonts w:ascii="Calibri" w:eastAsia="Calibri" w:hAnsi="Calibri" w:cs="Calibri"/>
          <w:color w:val="000000" w:themeColor="text1"/>
        </w:rPr>
        <w:t>" (árbol, planta) y varias configuraciones tradujeron "idioma de los árboles", lo que apunta tanto a un límite del sistema como a la heterogeneidad de la propia traducción Inga de referencia. Estos residuos marcan el techo actual y alimentan las líneas de trabajo futuro del capítulo 5.</w:t>
      </w:r>
    </w:p>
    <w:p w14:paraId="5FAB44FE" w14:textId="1BDCF4DD" w:rsidR="00C43711" w:rsidRDefault="00C43711" w:rsidP="00C43711">
      <w:pPr>
        <w:pStyle w:val="Caption"/>
        <w:keepNext/>
      </w:pPr>
      <w:bookmarkStart w:id="135" w:name="_Toc233199128"/>
      <w:r>
        <w:t xml:space="preserve">Tabla </w:t>
      </w:r>
      <w:fldSimple w:instr=" SEQ Tabla \* ARABIC ">
        <w:r w:rsidR="0059770D">
          <w:rPr>
            <w:noProof/>
          </w:rPr>
          <w:t>10</w:t>
        </w:r>
      </w:fldSimple>
      <w:r>
        <w:t xml:space="preserve">  Ejemplos de traducción por configuración y dirección sobre el conjunto de validación</w:t>
      </w:r>
      <w:bookmarkEnd w:id="135"/>
    </w:p>
    <w:tbl>
      <w:tblPr>
        <w:tblStyle w:val="GridTable5Dark-Accent1"/>
        <w:tblW w:w="0" w:type="auto"/>
        <w:tblLook w:val="04A0" w:firstRow="1" w:lastRow="0" w:firstColumn="1" w:lastColumn="0" w:noHBand="0" w:noVBand="1"/>
      </w:tblPr>
      <w:tblGrid>
        <w:gridCol w:w="1399"/>
        <w:gridCol w:w="1098"/>
        <w:gridCol w:w="1542"/>
        <w:gridCol w:w="1616"/>
        <w:gridCol w:w="1902"/>
        <w:gridCol w:w="1504"/>
      </w:tblGrid>
      <w:tr w:rsidR="00E65836" w14:paraId="061AC23B" w14:textId="77777777" w:rsidTr="00A1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882B9D6" w14:textId="77777777" w:rsidR="00E65836" w:rsidRDefault="00000000">
            <w:r>
              <w:t>Referencia</w:t>
            </w:r>
          </w:p>
        </w:tc>
        <w:tc>
          <w:tcPr>
            <w:tcW w:w="1512" w:type="dxa"/>
          </w:tcPr>
          <w:p w14:paraId="5A20205B" w14:textId="77777777" w:rsidR="00E65836" w:rsidRDefault="00000000">
            <w:pPr>
              <w:cnfStyle w:val="100000000000" w:firstRow="1" w:lastRow="0" w:firstColumn="0" w:lastColumn="0" w:oddVBand="0" w:evenVBand="0" w:oddHBand="0" w:evenHBand="0" w:firstRowFirstColumn="0" w:firstRowLastColumn="0" w:lastRowFirstColumn="0" w:lastRowLastColumn="0"/>
            </w:pPr>
            <w:r>
              <w:t>Dirección</w:t>
            </w:r>
          </w:p>
        </w:tc>
        <w:tc>
          <w:tcPr>
            <w:tcW w:w="1512" w:type="dxa"/>
          </w:tcPr>
          <w:p w14:paraId="1D862631" w14:textId="77777777" w:rsidR="00E65836" w:rsidRDefault="00000000">
            <w:pPr>
              <w:cnfStyle w:val="100000000000" w:firstRow="1" w:lastRow="0" w:firstColumn="0" w:lastColumn="0" w:oddVBand="0" w:evenVBand="0" w:oddHBand="0" w:evenHBand="0" w:firstRowFirstColumn="0" w:firstRowLastColumn="0" w:lastRowFirstColumn="0" w:lastRowLastColumn="0"/>
            </w:pPr>
            <w:r>
              <w:t>Texto fuente</w:t>
            </w:r>
          </w:p>
        </w:tc>
        <w:tc>
          <w:tcPr>
            <w:tcW w:w="1512" w:type="dxa"/>
          </w:tcPr>
          <w:p w14:paraId="3E73E531" w14:textId="77777777" w:rsidR="00E65836" w:rsidRDefault="00000000">
            <w:pPr>
              <w:cnfStyle w:val="100000000000" w:firstRow="1" w:lastRow="0" w:firstColumn="0" w:lastColumn="0" w:oddVBand="0" w:evenVBand="0" w:oddHBand="0" w:evenHBand="0" w:firstRowFirstColumn="0" w:firstRowLastColumn="0" w:lastRowFirstColumn="0" w:lastRowLastColumn="0"/>
            </w:pPr>
            <w:r>
              <w:t>A</w:t>
            </w:r>
          </w:p>
        </w:tc>
        <w:tc>
          <w:tcPr>
            <w:tcW w:w="1512" w:type="dxa"/>
          </w:tcPr>
          <w:p w14:paraId="7F2C55E6" w14:textId="77777777" w:rsidR="00E65836" w:rsidRDefault="00000000">
            <w:pPr>
              <w:cnfStyle w:val="100000000000" w:firstRow="1" w:lastRow="0" w:firstColumn="0" w:lastColumn="0" w:oddVBand="0" w:evenVBand="0" w:oddHBand="0" w:evenHBand="0" w:firstRowFirstColumn="0" w:firstRowLastColumn="0" w:lastRowFirstColumn="0" w:lastRowLastColumn="0"/>
            </w:pPr>
            <w:r>
              <w:t>C</w:t>
            </w:r>
          </w:p>
        </w:tc>
        <w:tc>
          <w:tcPr>
            <w:tcW w:w="1512" w:type="dxa"/>
          </w:tcPr>
          <w:p w14:paraId="62E8553C" w14:textId="77777777" w:rsidR="00E65836" w:rsidRDefault="00000000">
            <w:pPr>
              <w:cnfStyle w:val="100000000000" w:firstRow="1" w:lastRow="0" w:firstColumn="0" w:lastColumn="0" w:oddVBand="0" w:evenVBand="0" w:oddHBand="0" w:evenHBand="0" w:firstRowFirstColumn="0" w:firstRowLastColumn="0" w:lastRowFirstColumn="0" w:lastRowLastColumn="0"/>
            </w:pPr>
            <w:r>
              <w:t>D</w:t>
            </w:r>
          </w:p>
        </w:tc>
      </w:tr>
      <w:tr w:rsidR="00E65836" w14:paraId="0D7215F0"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B9A0655" w14:textId="77777777" w:rsidR="00E65836" w:rsidRDefault="00000000">
            <w:r>
              <w:t>Lucas 20:40</w:t>
            </w:r>
          </w:p>
        </w:tc>
        <w:tc>
          <w:tcPr>
            <w:tcW w:w="1512" w:type="dxa"/>
          </w:tcPr>
          <w:p w14:paraId="6EF1CDDB" w14:textId="77777777" w:rsidR="00E65836" w:rsidRDefault="00000000">
            <w:pPr>
              <w:cnfStyle w:val="000000100000" w:firstRow="0" w:lastRow="0" w:firstColumn="0" w:lastColumn="0" w:oddVBand="0" w:evenVBand="0" w:oddHBand="1" w:evenHBand="0" w:firstRowFirstColumn="0" w:firstRowLastColumn="0" w:lastRowFirstColumn="0" w:lastRowLastColumn="0"/>
            </w:pPr>
            <w:r>
              <w:t>Inga-es</w:t>
            </w:r>
          </w:p>
        </w:tc>
        <w:tc>
          <w:tcPr>
            <w:tcW w:w="1512" w:type="dxa"/>
          </w:tcPr>
          <w:p w14:paraId="4D7348BD"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t>Chiuramanda</w:t>
            </w:r>
            <w:proofErr w:type="spellEnd"/>
            <w:r>
              <w:t xml:space="preserve">, </w:t>
            </w:r>
            <w:proofErr w:type="spellStart"/>
            <w:r>
              <w:t>Jesusta</w:t>
            </w:r>
            <w:proofErr w:type="spellEnd"/>
            <w:r>
              <w:t xml:space="preserve"> </w:t>
            </w:r>
            <w:proofErr w:type="spellStart"/>
            <w:r>
              <w:t>mancharispa</w:t>
            </w:r>
            <w:proofErr w:type="spellEnd"/>
            <w:r>
              <w:t xml:space="preserve">, </w:t>
            </w:r>
            <w:proofErr w:type="spellStart"/>
            <w:r>
              <w:lastRenderedPageBreak/>
              <w:t>ñi</w:t>
            </w:r>
            <w:proofErr w:type="spellEnd"/>
            <w:r>
              <w:t xml:space="preserve"> </w:t>
            </w:r>
            <w:proofErr w:type="spellStart"/>
            <w:r>
              <w:t>maikan</w:t>
            </w:r>
            <w:proofErr w:type="spellEnd"/>
            <w:r>
              <w:t xml:space="preserve"> mana </w:t>
            </w:r>
            <w:proofErr w:type="spellStart"/>
            <w:r>
              <w:t>mas</w:t>
            </w:r>
            <w:proofErr w:type="spellEnd"/>
            <w:r>
              <w:t xml:space="preserve"> </w:t>
            </w:r>
            <w:proofErr w:type="spellStart"/>
            <w:r>
              <w:t>paita</w:t>
            </w:r>
            <w:proofErr w:type="spellEnd"/>
            <w:r>
              <w:t xml:space="preserve"> </w:t>
            </w:r>
            <w:proofErr w:type="spellStart"/>
            <w:r>
              <w:t>tapungapa</w:t>
            </w:r>
            <w:proofErr w:type="spellEnd"/>
            <w:r>
              <w:t xml:space="preserve"> </w:t>
            </w:r>
            <w:proofErr w:type="spellStart"/>
            <w:r>
              <w:t>munarkakuna</w:t>
            </w:r>
            <w:proofErr w:type="spellEnd"/>
            <w:r>
              <w:t>.</w:t>
            </w:r>
          </w:p>
        </w:tc>
        <w:tc>
          <w:tcPr>
            <w:tcW w:w="1512" w:type="dxa"/>
          </w:tcPr>
          <w:p w14:paraId="5ABA5001" w14:textId="77777777" w:rsidR="00E6583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Pero, por temor a Jesús, no quisieron </w:t>
            </w:r>
            <w:r>
              <w:lastRenderedPageBreak/>
              <w:t>preguntarle nada más.</w:t>
            </w:r>
          </w:p>
        </w:tc>
        <w:tc>
          <w:tcPr>
            <w:tcW w:w="1512" w:type="dxa"/>
          </w:tcPr>
          <w:p w14:paraId="389C0BEF" w14:textId="77777777" w:rsidR="00E6583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Y después de eso, temiendo a Jesús, ninguno </w:t>
            </w:r>
            <w:r>
              <w:lastRenderedPageBreak/>
              <w:t>quiso preguntarle más nada.</w:t>
            </w:r>
          </w:p>
        </w:tc>
        <w:tc>
          <w:tcPr>
            <w:tcW w:w="1512" w:type="dxa"/>
          </w:tcPr>
          <w:p w14:paraId="558293EF" w14:textId="77777777" w:rsidR="00E6583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Y desde entonces, temiendo a </w:t>
            </w:r>
            <w:r>
              <w:lastRenderedPageBreak/>
              <w:t>Jesús, ninguno quiso preguntarle más.</w:t>
            </w:r>
          </w:p>
        </w:tc>
      </w:tr>
      <w:tr w:rsidR="00E65836" w14:paraId="6D3F76D6" w14:textId="77777777" w:rsidTr="00A1331B">
        <w:tc>
          <w:tcPr>
            <w:cnfStyle w:val="001000000000" w:firstRow="0" w:lastRow="0" w:firstColumn="1" w:lastColumn="0" w:oddVBand="0" w:evenVBand="0" w:oddHBand="0" w:evenHBand="0" w:firstRowFirstColumn="0" w:firstRowLastColumn="0" w:lastRowFirstColumn="0" w:lastRowLastColumn="0"/>
            <w:tcW w:w="1512" w:type="dxa"/>
          </w:tcPr>
          <w:p w14:paraId="6CC0510E" w14:textId="77777777" w:rsidR="00E65836" w:rsidRDefault="00000000">
            <w:r>
              <w:lastRenderedPageBreak/>
              <w:t>Juan 4:32</w:t>
            </w:r>
          </w:p>
        </w:tc>
        <w:tc>
          <w:tcPr>
            <w:tcW w:w="1512" w:type="dxa"/>
          </w:tcPr>
          <w:p w14:paraId="28F2811F" w14:textId="77777777" w:rsidR="00E65836" w:rsidRDefault="00000000">
            <w:pPr>
              <w:cnfStyle w:val="000000000000" w:firstRow="0" w:lastRow="0" w:firstColumn="0" w:lastColumn="0" w:oddVBand="0" w:evenVBand="0" w:oddHBand="0" w:evenHBand="0" w:firstRowFirstColumn="0" w:firstRowLastColumn="0" w:lastRowFirstColumn="0" w:lastRowLastColumn="0"/>
            </w:pPr>
            <w:r>
              <w:t>es-Inga</w:t>
            </w:r>
          </w:p>
        </w:tc>
        <w:tc>
          <w:tcPr>
            <w:tcW w:w="1512" w:type="dxa"/>
          </w:tcPr>
          <w:p w14:paraId="7A503F7A" w14:textId="77777777" w:rsidR="00E65836" w:rsidRDefault="00000000">
            <w:pPr>
              <w:cnfStyle w:val="000000000000" w:firstRow="0" w:lastRow="0" w:firstColumn="0" w:lastColumn="0" w:oddVBand="0" w:evenVBand="0" w:oddHBand="0" w:evenHBand="0" w:firstRowFirstColumn="0" w:firstRowLastColumn="0" w:lastRowFirstColumn="0" w:lastRowLastColumn="0"/>
            </w:pPr>
            <w:r>
              <w:t>Yo tengo una comida que comer, que vosotros no sabéis.</w:t>
            </w:r>
          </w:p>
        </w:tc>
        <w:tc>
          <w:tcPr>
            <w:tcW w:w="1512" w:type="dxa"/>
          </w:tcPr>
          <w:p w14:paraId="73A01484" w14:textId="77777777" w:rsidR="00E65836" w:rsidRDefault="00000000">
            <w:pPr>
              <w:cnfStyle w:val="000000000000" w:firstRow="0" w:lastRow="0" w:firstColumn="0" w:lastColumn="0" w:oddVBand="0" w:evenVBand="0" w:oddHBand="0" w:evenHBand="0" w:firstRowFirstColumn="0" w:firstRowLastColumn="0" w:lastRowFirstColumn="0" w:lastRowLastColumn="0"/>
            </w:pPr>
            <w:proofErr w:type="spellStart"/>
            <w:r>
              <w:t>Jesustaq</w:t>
            </w:r>
            <w:proofErr w:type="spellEnd"/>
            <w:r>
              <w:t xml:space="preserve"> </w:t>
            </w:r>
            <w:proofErr w:type="spellStart"/>
            <w:r>
              <w:t>paykunata</w:t>
            </w:r>
            <w:proofErr w:type="spellEnd"/>
            <w:r>
              <w:t xml:space="preserve"> </w:t>
            </w:r>
            <w:proofErr w:type="spellStart"/>
            <w:r>
              <w:t>nirqan</w:t>
            </w:r>
            <w:proofErr w:type="spellEnd"/>
            <w:r>
              <w:t xml:space="preserve">: </w:t>
            </w:r>
            <w:proofErr w:type="spellStart"/>
            <w:r>
              <w:t>Qankuna</w:t>
            </w:r>
            <w:proofErr w:type="spellEnd"/>
            <w:r>
              <w:t xml:space="preserve"> mana </w:t>
            </w:r>
            <w:proofErr w:type="spellStart"/>
            <w:r>
              <w:t>reqsiq</w:t>
            </w:r>
            <w:proofErr w:type="spellEnd"/>
            <w:r>
              <w:t xml:space="preserve"> </w:t>
            </w:r>
            <w:proofErr w:type="spellStart"/>
            <w:r>
              <w:t>kanaykichispaq</w:t>
            </w:r>
            <w:proofErr w:type="spellEnd"/>
            <w:r>
              <w:t xml:space="preserve"> </w:t>
            </w:r>
            <w:proofErr w:type="spellStart"/>
            <w:r>
              <w:t>mikhuq</w:t>
            </w:r>
            <w:proofErr w:type="spellEnd"/>
            <w:r>
              <w:t xml:space="preserve"> </w:t>
            </w:r>
            <w:proofErr w:type="spellStart"/>
            <w:r>
              <w:t>kani</w:t>
            </w:r>
            <w:proofErr w:type="spellEnd"/>
            <w:r>
              <w:t xml:space="preserve">, </w:t>
            </w:r>
            <w:proofErr w:type="spellStart"/>
            <w:r>
              <w:t>nispa</w:t>
            </w:r>
            <w:proofErr w:type="spellEnd"/>
            <w:r>
              <w:t>. (quechua sureño)</w:t>
            </w:r>
          </w:p>
        </w:tc>
        <w:tc>
          <w:tcPr>
            <w:tcW w:w="1512" w:type="dxa"/>
          </w:tcPr>
          <w:p w14:paraId="5F400D0E" w14:textId="77777777" w:rsidR="00E65836" w:rsidRDefault="00000000">
            <w:pPr>
              <w:cnfStyle w:val="000000000000" w:firstRow="0" w:lastRow="0" w:firstColumn="0" w:lastColumn="0" w:oddVBand="0" w:evenVBand="0" w:oddHBand="0" w:evenHBand="0" w:firstRowFirstColumn="0" w:firstRowLastColumn="0" w:lastRowFirstColumn="0" w:lastRowLastColumn="0"/>
            </w:pPr>
            <w:r>
              <w:t xml:space="preserve">Chasa </w:t>
            </w:r>
            <w:proofErr w:type="spellStart"/>
            <w:r>
              <w:t>paymi</w:t>
            </w:r>
            <w:proofErr w:type="spellEnd"/>
            <w:r>
              <w:t xml:space="preserve"> </w:t>
            </w:r>
            <w:proofErr w:type="spellStart"/>
            <w:r>
              <w:t>paicunaman</w:t>
            </w:r>
            <w:proofErr w:type="spellEnd"/>
            <w:r>
              <w:t xml:space="preserve"> </w:t>
            </w:r>
            <w:proofErr w:type="spellStart"/>
            <w:r>
              <w:t>nirca</w:t>
            </w:r>
            <w:proofErr w:type="spellEnd"/>
            <w:r>
              <w:t xml:space="preserve">: </w:t>
            </w:r>
            <w:proofErr w:type="spellStart"/>
            <w:r>
              <w:t>Ñucapim</w:t>
            </w:r>
            <w:proofErr w:type="spellEnd"/>
            <w:r>
              <w:t xml:space="preserve"> </w:t>
            </w:r>
            <w:proofErr w:type="spellStart"/>
            <w:r>
              <w:t>micunata</w:t>
            </w:r>
            <w:proofErr w:type="spellEnd"/>
            <w:r>
              <w:t xml:space="preserve"> </w:t>
            </w:r>
            <w:proofErr w:type="spellStart"/>
            <w:r>
              <w:t>tiyan</w:t>
            </w:r>
            <w:proofErr w:type="spellEnd"/>
            <w:r>
              <w:t xml:space="preserve"> </w:t>
            </w:r>
            <w:proofErr w:type="spellStart"/>
            <w:r>
              <w:t>micungapa</w:t>
            </w:r>
            <w:proofErr w:type="spellEnd"/>
            <w:r>
              <w:t xml:space="preserve">, </w:t>
            </w:r>
            <w:proofErr w:type="spellStart"/>
            <w:r>
              <w:t>cancunaca</w:t>
            </w:r>
            <w:proofErr w:type="spellEnd"/>
            <w:r>
              <w:t xml:space="preserve"> mana </w:t>
            </w:r>
            <w:proofErr w:type="spellStart"/>
            <w:r>
              <w:t>yachanguichicchu</w:t>
            </w:r>
            <w:proofErr w:type="spellEnd"/>
            <w:r>
              <w:t>. (</w:t>
            </w:r>
            <w:proofErr w:type="spellStart"/>
            <w:r>
              <w:t>kichwa</w:t>
            </w:r>
            <w:proofErr w:type="spellEnd"/>
            <w:r>
              <w:t xml:space="preserve"> ecuatoriano)</w:t>
            </w:r>
          </w:p>
        </w:tc>
        <w:tc>
          <w:tcPr>
            <w:tcW w:w="1512" w:type="dxa"/>
          </w:tcPr>
          <w:p w14:paraId="3741AABA" w14:textId="77777777" w:rsidR="00E65836" w:rsidRDefault="00000000">
            <w:pPr>
              <w:cnfStyle w:val="000000000000" w:firstRow="0" w:lastRow="0" w:firstColumn="0" w:lastColumn="0" w:oddVBand="0" w:evenVBand="0" w:oddHBand="0" w:evenHBand="0" w:firstRowFirstColumn="0" w:firstRowLastColumn="0" w:lastRowFirstColumn="0" w:lastRowLastColumn="0"/>
            </w:pPr>
            <w:proofErr w:type="spellStart"/>
            <w:r>
              <w:t>Paika</w:t>
            </w:r>
            <w:proofErr w:type="spellEnd"/>
            <w:r>
              <w:t xml:space="preserve"> </w:t>
            </w:r>
            <w:proofErr w:type="spellStart"/>
            <w:r>
              <w:t>painakunata</w:t>
            </w:r>
            <w:proofErr w:type="spellEnd"/>
            <w:r>
              <w:t xml:space="preserve"> </w:t>
            </w:r>
            <w:proofErr w:type="spellStart"/>
            <w:r>
              <w:t>nirka</w:t>
            </w:r>
            <w:proofErr w:type="spellEnd"/>
            <w:r>
              <w:t xml:space="preserve">: Nukaka </w:t>
            </w:r>
            <w:proofErr w:type="spellStart"/>
            <w:r>
              <w:t>mikungapa</w:t>
            </w:r>
            <w:proofErr w:type="spellEnd"/>
            <w:r>
              <w:t xml:space="preserve"> </w:t>
            </w:r>
            <w:proofErr w:type="spellStart"/>
            <w:r>
              <w:t>mikuika</w:t>
            </w:r>
            <w:proofErr w:type="spellEnd"/>
            <w:r>
              <w:t xml:space="preserve"> </w:t>
            </w:r>
            <w:proofErr w:type="spellStart"/>
            <w:r>
              <w:t>tian</w:t>
            </w:r>
            <w:proofErr w:type="spellEnd"/>
            <w:r>
              <w:t xml:space="preserve">, </w:t>
            </w:r>
            <w:proofErr w:type="spellStart"/>
            <w:r>
              <w:t>kamkunaka</w:t>
            </w:r>
            <w:proofErr w:type="spellEnd"/>
            <w:r>
              <w:t xml:space="preserve"> mana </w:t>
            </w:r>
            <w:proofErr w:type="spellStart"/>
            <w:r>
              <w:t>yachangichu</w:t>
            </w:r>
            <w:proofErr w:type="spellEnd"/>
            <w:r>
              <w:t>. (Inga)</w:t>
            </w:r>
          </w:p>
        </w:tc>
      </w:tr>
      <w:tr w:rsidR="00E65836" w14:paraId="40AB2C82"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6BEE4B5" w14:textId="77777777" w:rsidR="00E65836" w:rsidRDefault="00000000">
            <w:r>
              <w:t>Constitución art. 10</w:t>
            </w:r>
          </w:p>
        </w:tc>
        <w:tc>
          <w:tcPr>
            <w:tcW w:w="1512" w:type="dxa"/>
          </w:tcPr>
          <w:p w14:paraId="5458BC0F" w14:textId="77777777" w:rsidR="00E65836" w:rsidRDefault="00000000">
            <w:pPr>
              <w:cnfStyle w:val="000000100000" w:firstRow="0" w:lastRow="0" w:firstColumn="0" w:lastColumn="0" w:oddVBand="0" w:evenVBand="0" w:oddHBand="1" w:evenHBand="0" w:firstRowFirstColumn="0" w:firstRowLastColumn="0" w:lastRowFirstColumn="0" w:lastRowLastColumn="0"/>
            </w:pPr>
            <w:r>
              <w:t>es-Inga</w:t>
            </w:r>
          </w:p>
        </w:tc>
        <w:tc>
          <w:tcPr>
            <w:tcW w:w="1512" w:type="dxa"/>
          </w:tcPr>
          <w:p w14:paraId="6B337027" w14:textId="77777777" w:rsidR="00E65836" w:rsidRDefault="00000000">
            <w:pPr>
              <w:cnfStyle w:val="000000100000" w:firstRow="0" w:lastRow="0" w:firstColumn="0" w:lastColumn="0" w:oddVBand="0" w:evenVBand="0" w:oddHBand="1" w:evenHBand="0" w:firstRowFirstColumn="0" w:firstRowLastColumn="0" w:lastRowFirstColumn="0" w:lastRowLastColumn="0"/>
            </w:pPr>
            <w:r>
              <w:t>El castellano es el idioma oficial de Colombia.</w:t>
            </w:r>
          </w:p>
        </w:tc>
        <w:tc>
          <w:tcPr>
            <w:tcW w:w="1512" w:type="dxa"/>
          </w:tcPr>
          <w:p w14:paraId="2F6266CE"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t>Kastillanuqa</w:t>
            </w:r>
            <w:proofErr w:type="spellEnd"/>
            <w:r>
              <w:t xml:space="preserve"> Colombia </w:t>
            </w:r>
            <w:proofErr w:type="spellStart"/>
            <w:r>
              <w:t>suyupi</w:t>
            </w:r>
            <w:proofErr w:type="spellEnd"/>
            <w:r>
              <w:t xml:space="preserve"> </w:t>
            </w:r>
            <w:proofErr w:type="spellStart"/>
            <w:r>
              <w:t>rimaymi</w:t>
            </w:r>
            <w:proofErr w:type="spellEnd"/>
            <w:r>
              <w:t>. (quechua sureño)</w:t>
            </w:r>
          </w:p>
        </w:tc>
        <w:tc>
          <w:tcPr>
            <w:tcW w:w="1512" w:type="dxa"/>
          </w:tcPr>
          <w:p w14:paraId="6D0EB032"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t>Castellanomi</w:t>
            </w:r>
            <w:proofErr w:type="spellEnd"/>
            <w:r>
              <w:t xml:space="preserve"> Colombia </w:t>
            </w:r>
            <w:proofErr w:type="spellStart"/>
            <w:r>
              <w:t>llaktapi</w:t>
            </w:r>
            <w:proofErr w:type="spellEnd"/>
            <w:r>
              <w:t xml:space="preserve"> </w:t>
            </w:r>
            <w:proofErr w:type="spellStart"/>
            <w:r>
              <w:t>rimana</w:t>
            </w:r>
            <w:proofErr w:type="spellEnd"/>
            <w:r>
              <w:t xml:space="preserve"> oficial kan.</w:t>
            </w:r>
          </w:p>
        </w:tc>
        <w:tc>
          <w:tcPr>
            <w:tcW w:w="1512" w:type="dxa"/>
          </w:tcPr>
          <w:p w14:paraId="678A5351"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t>Kastilla</w:t>
            </w:r>
            <w:proofErr w:type="spellEnd"/>
            <w:r>
              <w:t xml:space="preserve"> </w:t>
            </w:r>
            <w:proofErr w:type="spellStart"/>
            <w:r>
              <w:t>simi</w:t>
            </w:r>
            <w:proofErr w:type="spellEnd"/>
            <w:r>
              <w:t xml:space="preserve"> </w:t>
            </w:r>
            <w:proofErr w:type="spellStart"/>
            <w:r>
              <w:t>kami</w:t>
            </w:r>
            <w:proofErr w:type="spellEnd"/>
            <w:r>
              <w:t xml:space="preserve"> Kulumbia </w:t>
            </w:r>
            <w:proofErr w:type="spellStart"/>
            <w:r>
              <w:t>llagtapi</w:t>
            </w:r>
            <w:proofErr w:type="spellEnd"/>
            <w:r>
              <w:t xml:space="preserve"> </w:t>
            </w:r>
            <w:proofErr w:type="spellStart"/>
            <w:r>
              <w:t>kawsag</w:t>
            </w:r>
            <w:proofErr w:type="spellEnd"/>
            <w:r>
              <w:t xml:space="preserve"> </w:t>
            </w:r>
            <w:proofErr w:type="spellStart"/>
            <w:r>
              <w:t>tukui</w:t>
            </w:r>
            <w:proofErr w:type="spellEnd"/>
            <w:r>
              <w:t xml:space="preserve"> </w:t>
            </w:r>
            <w:proofErr w:type="spellStart"/>
            <w:r>
              <w:t>runakunapata</w:t>
            </w:r>
            <w:proofErr w:type="spellEnd"/>
            <w:r>
              <w:t xml:space="preserve"> </w:t>
            </w:r>
            <w:proofErr w:type="spellStart"/>
            <w:r>
              <w:t>rimai</w:t>
            </w:r>
            <w:proofErr w:type="spellEnd"/>
            <w:r>
              <w:t>. (Inga)</w:t>
            </w:r>
          </w:p>
        </w:tc>
      </w:tr>
    </w:tbl>
    <w:p w14:paraId="01D74827" w14:textId="77777777" w:rsidR="00636E09" w:rsidRPr="007052CF" w:rsidRDefault="384FA2C3" w:rsidP="3DB4A857">
      <w:pPr>
        <w:pStyle w:val="Piedefoto-tabla"/>
        <w:numPr>
          <w:ilvl w:val="0"/>
          <w:numId w:val="2"/>
        </w:numPr>
        <w:jc w:val="both"/>
        <w:rPr>
          <w:rFonts w:eastAsia="Calibri" w:cs="Calibri"/>
          <w:iCs w:val="0"/>
          <w:szCs w:val="19"/>
          <w:lang w:val="es-CO"/>
        </w:rPr>
      </w:pPr>
      <w:r>
        <w:rPr>
          <w:rFonts w:eastAsia="Calibri" w:cs="Calibri"/>
          <w:i/>
          <w:szCs w:val="19"/>
          <w:lang w:val="es-CO"/>
        </w:rPr>
        <w:t>Nota. Elaboración propia a partir del Notebook 11. Las salidas se transcriben literalmente; los guiones de diálogo se normalizaron. La variante lingüística detectada se indica entre paréntesis.</w:t>
      </w:r>
    </w:p>
    <w:p w14:paraId="3AF7BA3D"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36" w:name="_Toc233199100"/>
      <w:r>
        <w:rPr>
          <w:rFonts w:ascii="Calibri Light" w:eastAsia="Calibri Light" w:hAnsi="Calibri Light" w:cs="Calibri Light"/>
          <w:b w:val="0"/>
          <w:bCs w:val="0"/>
          <w:color w:val="000000" w:themeColor="text1"/>
          <w:szCs w:val="24"/>
        </w:rPr>
        <w:lastRenderedPageBreak/>
        <w:t>4.6.2 Taxonomía de errores</w:t>
      </w:r>
      <w:bookmarkEnd w:id="136"/>
    </w:p>
    <w:p w14:paraId="4CB0873C"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análisis cualitativo de la subsección anterior se apoya en casos concretos. Para respaldarlo con una mirada de conjunto, se revisaron las salidas de las cinco configuraciones sobre los cien ejemplos del conjunto de validación y se clasificaron por tipo de fallo. El recuento no pretende ser una evaluación exhaustiva, sino una radiografía que explique qué hay detrás de las cifras agregadas de la Tabla 8. Tres tipos de error admiten recuento automático fiable; un cuarto, de naturaleza más fina, se ilustra con ejemplos.</w:t>
      </w:r>
    </w:p>
    <w:p w14:paraId="2B40E7C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fallo más visible es la degeneración por repetición, en la que el decodificador entra en un bucle y repite una secuencia hasta agotar la ventana de salida. En la dirección Inga-español lo padece sobre todo el modelo multilingüe sin adaptar: la configuración A repite en 21 de los 100 ejemplos. El ajuste fino lo reduce a 9. Lo interesante aparece en la dirección contraria. Ahí es la configuración B, el NLLB con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la que se descontrola: repite en 47 de los 100 ejemplos, casi la mitad. Este dato explica de forma directa por qué su BLEU en español-Inga se desploma a 1,79, una caída que las cifras agregadas </w:t>
      </w:r>
      <w:proofErr w:type="gramStart"/>
      <w:r w:rsidRPr="00A1331B">
        <w:rPr>
          <w:rFonts w:ascii="Calibri" w:eastAsia="Calibri" w:hAnsi="Calibri" w:cs="Calibri"/>
          <w:color w:val="000000" w:themeColor="text1"/>
        </w:rPr>
        <w:t>registran</w:t>
      </w:r>
      <w:proofErr w:type="gramEnd"/>
      <w:r w:rsidRPr="00A1331B">
        <w:rPr>
          <w:rFonts w:ascii="Calibri" w:eastAsia="Calibri" w:hAnsi="Calibri" w:cs="Calibri"/>
          <w:color w:val="000000" w:themeColor="text1"/>
        </w:rPr>
        <w:t xml:space="preserve"> pero no justifican. No es solo que el decodificador no aprenda a generar Inga con cuatro mil pares; es que, cuando lo intenta, se queda atascado. Las configuraciones con recuperación (D y E) prácticamente eliminan este error en ambas direcciones.</w:t>
      </w:r>
    </w:p>
    <w:p w14:paraId="7409AFF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Un segundo fallo, emparentado con el anterior, es el desbordamiento de longitud: salidas que superan en más de dos veces y media la longitud de la referencia. La configuración A en Inga-español lo hace en 17 ejemplos, coherente con su tendencia a la repetición. El resto se mantiene entre 7 y 13, lo que sugiere que las traducciones largas son a veces legítimas (versículos con subordinación encadenada) y no siempre un síntoma de error.</w:t>
      </w:r>
    </w:p>
    <w:p w14:paraId="32B0605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tercer tipo es el más relevante para este par de lenguas, y es la traducción a la lengua incorrecta en la dirección español-Inga. Medirlo con precisión es difícil, porque el Inga y el quechua sureño comparten raíces y morfología, de modo que una misma oración puede presentar rasgos de ambas variantes. Por eso el recuento de la Tabla 11 debe leerse como tendencia y no como una clasificación limpia. Aun con esa cautela, la señal es inequívoca. El NLLB sin adaptar (configuración A) produce salidas con marcas de quechua sureño en 93 de los 100 ejemplos, y con marcas propias del Inga en apenas 13. La incorporación de la </w:t>
      </w:r>
      <w:r w:rsidRPr="00A1331B">
        <w:rPr>
          <w:rFonts w:ascii="Calibri" w:eastAsia="Calibri" w:hAnsi="Calibri" w:cs="Calibri"/>
          <w:color w:val="000000" w:themeColor="text1"/>
        </w:rPr>
        <w:lastRenderedPageBreak/>
        <w:t>recuperación aumentada invierte la proporción: en las configuraciones D y E las marcas de Inga aparecen en torno a 47 ejemplos. El ajuste fino (configuración B) también empuja hacia el Inga, pero al precio del bucle de repetición ya comentado. En conjunto, el contexto recuperado no solo sube las métricas: reorienta la generación hacia la variante correcta, que es justo lo que las métricas de n-gramas no saben premiar por sí solas.</w:t>
      </w:r>
    </w:p>
    <w:p w14:paraId="336B9EC7"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Queda un cuarto tipo de error, que no admite recuento </w:t>
      </w:r>
      <w:proofErr w:type="gramStart"/>
      <w:r w:rsidRPr="00A1331B">
        <w:rPr>
          <w:rFonts w:ascii="Calibri" w:eastAsia="Calibri" w:hAnsi="Calibri" w:cs="Calibri"/>
          <w:color w:val="000000" w:themeColor="text1"/>
        </w:rPr>
        <w:t>automático</w:t>
      </w:r>
      <w:proofErr w:type="gramEnd"/>
      <w:r w:rsidRPr="00A1331B">
        <w:rPr>
          <w:rFonts w:ascii="Calibri" w:eastAsia="Calibri" w:hAnsi="Calibri" w:cs="Calibri"/>
          <w:color w:val="000000" w:themeColor="text1"/>
        </w:rPr>
        <w:t xml:space="preserve"> pero aparece con regularidad en la inspección: los fallos de referencia y concordancia. En oraciones con varias cláusulas subordinadas, incluso la configuración D confunde a veces quién hace qué, o desplaza un sujeto de una cláusula a otra. Son errores sutiles, que no degradan la fluidez de la salida y que por eso pueden pasar inadvertidos a una métrica de superficie, pero que alteran el sentido. Su persistencia en la mejor configuración marca uno de los límites actuales del sistema.</w:t>
      </w:r>
    </w:p>
    <w:p w14:paraId="42B6F73C"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Conviene cerrar con un dato en positivo: ninguna de las cinco configuraciones produjo salidas vacías o truncadas a una o dos palabras. Todas devuelven siempre una traducción completa, aunque sea defectuosa. El problema, cuando lo hay, no es de cobertura sino de calidad o de variante.</w:t>
      </w:r>
    </w:p>
    <w:p w14:paraId="00378275" w14:textId="4F0B5EDC" w:rsidR="00C43711" w:rsidRDefault="00C43711" w:rsidP="00C43711">
      <w:pPr>
        <w:pStyle w:val="Caption"/>
        <w:keepNext/>
      </w:pPr>
      <w:bookmarkStart w:id="137" w:name="_Toc233199129"/>
      <w:r>
        <w:t xml:space="preserve">Tabla </w:t>
      </w:r>
      <w:fldSimple w:instr=" SEQ Tabla \* ARABIC ">
        <w:r w:rsidR="0059770D">
          <w:rPr>
            <w:noProof/>
          </w:rPr>
          <w:t>11</w:t>
        </w:r>
      </w:fldSimple>
      <w:r>
        <w:t xml:space="preserve">  Recuento de errores por tipo y configuración sobre los 100 ejemplos del conjunto de validación</w:t>
      </w:r>
      <w:bookmarkEnd w:id="137"/>
    </w:p>
    <w:tbl>
      <w:tblPr>
        <w:tblStyle w:val="GridTable5Dark-Accent1"/>
        <w:tblW w:w="0" w:type="auto"/>
        <w:tblLook w:val="04A0" w:firstRow="1" w:lastRow="0" w:firstColumn="1" w:lastColumn="0" w:noHBand="0" w:noVBand="1"/>
      </w:tblPr>
      <w:tblGrid>
        <w:gridCol w:w="1891"/>
        <w:gridCol w:w="1275"/>
        <w:gridCol w:w="1179"/>
        <w:gridCol w:w="1179"/>
        <w:gridCol w:w="1179"/>
        <w:gridCol w:w="1179"/>
        <w:gridCol w:w="1179"/>
      </w:tblGrid>
      <w:tr w:rsidR="00E65836" w14:paraId="25BF0409" w14:textId="77777777" w:rsidTr="00A1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C9464D2" w14:textId="77777777" w:rsidR="00E65836" w:rsidRDefault="00000000">
            <w:r>
              <w:t>Tipo de error</w:t>
            </w:r>
          </w:p>
        </w:tc>
        <w:tc>
          <w:tcPr>
            <w:tcW w:w="1296" w:type="dxa"/>
          </w:tcPr>
          <w:p w14:paraId="13ECAD7A" w14:textId="77777777" w:rsidR="00E65836" w:rsidRDefault="00000000">
            <w:pPr>
              <w:cnfStyle w:val="100000000000" w:firstRow="1" w:lastRow="0" w:firstColumn="0" w:lastColumn="0" w:oddVBand="0" w:evenVBand="0" w:oddHBand="0" w:evenHBand="0" w:firstRowFirstColumn="0" w:firstRowLastColumn="0" w:lastRowFirstColumn="0" w:lastRowLastColumn="0"/>
            </w:pPr>
            <w:r>
              <w:t>Dirección</w:t>
            </w:r>
          </w:p>
        </w:tc>
        <w:tc>
          <w:tcPr>
            <w:tcW w:w="1296" w:type="dxa"/>
          </w:tcPr>
          <w:p w14:paraId="79C7D34B" w14:textId="77777777" w:rsidR="00E65836" w:rsidRDefault="00000000">
            <w:pPr>
              <w:cnfStyle w:val="100000000000" w:firstRow="1" w:lastRow="0" w:firstColumn="0" w:lastColumn="0" w:oddVBand="0" w:evenVBand="0" w:oddHBand="0" w:evenHBand="0" w:firstRowFirstColumn="0" w:firstRowLastColumn="0" w:lastRowFirstColumn="0" w:lastRowLastColumn="0"/>
            </w:pPr>
            <w:r>
              <w:t>A</w:t>
            </w:r>
          </w:p>
        </w:tc>
        <w:tc>
          <w:tcPr>
            <w:tcW w:w="1296" w:type="dxa"/>
          </w:tcPr>
          <w:p w14:paraId="0201EA5F" w14:textId="77777777" w:rsidR="00E65836" w:rsidRDefault="00000000">
            <w:pPr>
              <w:cnfStyle w:val="100000000000" w:firstRow="1" w:lastRow="0" w:firstColumn="0" w:lastColumn="0" w:oddVBand="0" w:evenVBand="0" w:oddHBand="0" w:evenHBand="0" w:firstRowFirstColumn="0" w:firstRowLastColumn="0" w:lastRowFirstColumn="0" w:lastRowLastColumn="0"/>
            </w:pPr>
            <w:r>
              <w:t>B</w:t>
            </w:r>
          </w:p>
        </w:tc>
        <w:tc>
          <w:tcPr>
            <w:tcW w:w="1296" w:type="dxa"/>
          </w:tcPr>
          <w:p w14:paraId="1E88F73C" w14:textId="77777777" w:rsidR="00E65836" w:rsidRDefault="00000000">
            <w:pPr>
              <w:cnfStyle w:val="100000000000" w:firstRow="1" w:lastRow="0" w:firstColumn="0" w:lastColumn="0" w:oddVBand="0" w:evenVBand="0" w:oddHBand="0" w:evenHBand="0" w:firstRowFirstColumn="0" w:firstRowLastColumn="0" w:lastRowFirstColumn="0" w:lastRowLastColumn="0"/>
            </w:pPr>
            <w:r>
              <w:t>C</w:t>
            </w:r>
          </w:p>
        </w:tc>
        <w:tc>
          <w:tcPr>
            <w:tcW w:w="1296" w:type="dxa"/>
          </w:tcPr>
          <w:p w14:paraId="07817F89" w14:textId="77777777" w:rsidR="00E65836" w:rsidRDefault="00000000">
            <w:pPr>
              <w:cnfStyle w:val="100000000000" w:firstRow="1" w:lastRow="0" w:firstColumn="0" w:lastColumn="0" w:oddVBand="0" w:evenVBand="0" w:oddHBand="0" w:evenHBand="0" w:firstRowFirstColumn="0" w:firstRowLastColumn="0" w:lastRowFirstColumn="0" w:lastRowLastColumn="0"/>
            </w:pPr>
            <w:r>
              <w:t>D</w:t>
            </w:r>
          </w:p>
        </w:tc>
        <w:tc>
          <w:tcPr>
            <w:tcW w:w="1296" w:type="dxa"/>
          </w:tcPr>
          <w:p w14:paraId="0E0660DF" w14:textId="77777777" w:rsidR="00E65836" w:rsidRDefault="00000000">
            <w:pPr>
              <w:cnfStyle w:val="100000000000" w:firstRow="1" w:lastRow="0" w:firstColumn="0" w:lastColumn="0" w:oddVBand="0" w:evenVBand="0" w:oddHBand="0" w:evenHBand="0" w:firstRowFirstColumn="0" w:firstRowLastColumn="0" w:lastRowFirstColumn="0" w:lastRowLastColumn="0"/>
            </w:pPr>
            <w:r>
              <w:t>E</w:t>
            </w:r>
          </w:p>
        </w:tc>
      </w:tr>
      <w:tr w:rsidR="00E65836" w14:paraId="7931B613"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C0A8983" w14:textId="77777777" w:rsidR="00E65836" w:rsidRDefault="00000000">
            <w:r>
              <w:t>Repetición (bucle)</w:t>
            </w:r>
          </w:p>
        </w:tc>
        <w:tc>
          <w:tcPr>
            <w:tcW w:w="1296" w:type="dxa"/>
          </w:tcPr>
          <w:p w14:paraId="2B4A41EE" w14:textId="77777777" w:rsidR="00E65836" w:rsidRDefault="00000000">
            <w:pPr>
              <w:cnfStyle w:val="000000100000" w:firstRow="0" w:lastRow="0" w:firstColumn="0" w:lastColumn="0" w:oddVBand="0" w:evenVBand="0" w:oddHBand="1" w:evenHBand="0" w:firstRowFirstColumn="0" w:firstRowLastColumn="0" w:lastRowFirstColumn="0" w:lastRowLastColumn="0"/>
            </w:pPr>
            <w:r>
              <w:t>Inga-es</w:t>
            </w:r>
          </w:p>
        </w:tc>
        <w:tc>
          <w:tcPr>
            <w:tcW w:w="1296" w:type="dxa"/>
          </w:tcPr>
          <w:p w14:paraId="5AD00B0C" w14:textId="77777777" w:rsidR="00E65836" w:rsidRDefault="00000000">
            <w:pPr>
              <w:cnfStyle w:val="000000100000" w:firstRow="0" w:lastRow="0" w:firstColumn="0" w:lastColumn="0" w:oddVBand="0" w:evenVBand="0" w:oddHBand="1" w:evenHBand="0" w:firstRowFirstColumn="0" w:firstRowLastColumn="0" w:lastRowFirstColumn="0" w:lastRowLastColumn="0"/>
            </w:pPr>
            <w:r>
              <w:t>21</w:t>
            </w:r>
          </w:p>
        </w:tc>
        <w:tc>
          <w:tcPr>
            <w:tcW w:w="1296" w:type="dxa"/>
          </w:tcPr>
          <w:p w14:paraId="7A449F0D" w14:textId="77777777" w:rsidR="00E65836" w:rsidRDefault="00000000">
            <w:pPr>
              <w:cnfStyle w:val="000000100000" w:firstRow="0" w:lastRow="0" w:firstColumn="0" w:lastColumn="0" w:oddVBand="0" w:evenVBand="0" w:oddHBand="1" w:evenHBand="0" w:firstRowFirstColumn="0" w:firstRowLastColumn="0" w:lastRowFirstColumn="0" w:lastRowLastColumn="0"/>
            </w:pPr>
            <w:r>
              <w:t>9</w:t>
            </w:r>
          </w:p>
        </w:tc>
        <w:tc>
          <w:tcPr>
            <w:tcW w:w="1296" w:type="dxa"/>
          </w:tcPr>
          <w:p w14:paraId="3596B1CE" w14:textId="77777777" w:rsidR="00E65836" w:rsidRDefault="00000000">
            <w:pPr>
              <w:cnfStyle w:val="000000100000" w:firstRow="0" w:lastRow="0" w:firstColumn="0" w:lastColumn="0" w:oddVBand="0" w:evenVBand="0" w:oddHBand="1" w:evenHBand="0" w:firstRowFirstColumn="0" w:firstRowLastColumn="0" w:lastRowFirstColumn="0" w:lastRowLastColumn="0"/>
            </w:pPr>
            <w:r>
              <w:t>0</w:t>
            </w:r>
          </w:p>
        </w:tc>
        <w:tc>
          <w:tcPr>
            <w:tcW w:w="1296" w:type="dxa"/>
          </w:tcPr>
          <w:p w14:paraId="712FFDE1" w14:textId="77777777" w:rsidR="00E65836" w:rsidRDefault="00000000">
            <w:pPr>
              <w:cnfStyle w:val="000000100000" w:firstRow="0" w:lastRow="0" w:firstColumn="0" w:lastColumn="0" w:oddVBand="0" w:evenVBand="0" w:oddHBand="1" w:evenHBand="0" w:firstRowFirstColumn="0" w:firstRowLastColumn="0" w:lastRowFirstColumn="0" w:lastRowLastColumn="0"/>
            </w:pPr>
            <w:r>
              <w:t>1</w:t>
            </w:r>
          </w:p>
        </w:tc>
        <w:tc>
          <w:tcPr>
            <w:tcW w:w="1296" w:type="dxa"/>
          </w:tcPr>
          <w:p w14:paraId="592B9CF8" w14:textId="77777777" w:rsidR="00E65836" w:rsidRDefault="00000000">
            <w:pPr>
              <w:cnfStyle w:val="000000100000" w:firstRow="0" w:lastRow="0" w:firstColumn="0" w:lastColumn="0" w:oddVBand="0" w:evenVBand="0" w:oddHBand="1" w:evenHBand="0" w:firstRowFirstColumn="0" w:firstRowLastColumn="0" w:lastRowFirstColumn="0" w:lastRowLastColumn="0"/>
            </w:pPr>
            <w:r>
              <w:t>1</w:t>
            </w:r>
          </w:p>
        </w:tc>
      </w:tr>
      <w:tr w:rsidR="00E65836" w14:paraId="67D61C11"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0322EAE5" w14:textId="77777777" w:rsidR="00E65836" w:rsidRDefault="00000000">
            <w:r>
              <w:t>Repetición (bucle)</w:t>
            </w:r>
          </w:p>
        </w:tc>
        <w:tc>
          <w:tcPr>
            <w:tcW w:w="1296" w:type="dxa"/>
          </w:tcPr>
          <w:p w14:paraId="6D9A0D8F" w14:textId="77777777" w:rsidR="00E65836" w:rsidRDefault="00000000">
            <w:pPr>
              <w:cnfStyle w:val="000000000000" w:firstRow="0" w:lastRow="0" w:firstColumn="0" w:lastColumn="0" w:oddVBand="0" w:evenVBand="0" w:oddHBand="0" w:evenHBand="0" w:firstRowFirstColumn="0" w:firstRowLastColumn="0" w:lastRowFirstColumn="0" w:lastRowLastColumn="0"/>
            </w:pPr>
            <w:r>
              <w:t>es-Inga</w:t>
            </w:r>
          </w:p>
        </w:tc>
        <w:tc>
          <w:tcPr>
            <w:tcW w:w="1296" w:type="dxa"/>
          </w:tcPr>
          <w:p w14:paraId="4A0713E6" w14:textId="77777777" w:rsidR="00E65836" w:rsidRDefault="00000000">
            <w:pPr>
              <w:cnfStyle w:val="000000000000" w:firstRow="0" w:lastRow="0" w:firstColumn="0" w:lastColumn="0" w:oddVBand="0" w:evenVBand="0" w:oddHBand="0" w:evenHBand="0" w:firstRowFirstColumn="0" w:firstRowLastColumn="0" w:lastRowFirstColumn="0" w:lastRowLastColumn="0"/>
            </w:pPr>
            <w:r>
              <w:t>5</w:t>
            </w:r>
          </w:p>
        </w:tc>
        <w:tc>
          <w:tcPr>
            <w:tcW w:w="1296" w:type="dxa"/>
          </w:tcPr>
          <w:p w14:paraId="0C932D02" w14:textId="77777777" w:rsidR="00E65836" w:rsidRDefault="00000000">
            <w:pPr>
              <w:cnfStyle w:val="000000000000" w:firstRow="0" w:lastRow="0" w:firstColumn="0" w:lastColumn="0" w:oddVBand="0" w:evenVBand="0" w:oddHBand="0" w:evenHBand="0" w:firstRowFirstColumn="0" w:firstRowLastColumn="0" w:lastRowFirstColumn="0" w:lastRowLastColumn="0"/>
            </w:pPr>
            <w:r>
              <w:t>47</w:t>
            </w:r>
          </w:p>
        </w:tc>
        <w:tc>
          <w:tcPr>
            <w:tcW w:w="1296" w:type="dxa"/>
          </w:tcPr>
          <w:p w14:paraId="05326006" w14:textId="77777777" w:rsidR="00E65836" w:rsidRDefault="00000000">
            <w:pPr>
              <w:cnfStyle w:val="000000000000" w:firstRow="0" w:lastRow="0" w:firstColumn="0" w:lastColumn="0" w:oddVBand="0" w:evenVBand="0" w:oddHBand="0" w:evenHBand="0" w:firstRowFirstColumn="0" w:firstRowLastColumn="0" w:lastRowFirstColumn="0" w:lastRowLastColumn="0"/>
            </w:pPr>
            <w:r>
              <w:t>1</w:t>
            </w:r>
          </w:p>
        </w:tc>
        <w:tc>
          <w:tcPr>
            <w:tcW w:w="1296" w:type="dxa"/>
          </w:tcPr>
          <w:p w14:paraId="789A85CA"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5B0B9EC0"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r>
      <w:tr w:rsidR="00E65836" w14:paraId="17B7FBBE"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BFF9CBB" w14:textId="77777777" w:rsidR="00E65836" w:rsidRDefault="00000000">
            <w:r>
              <w:t xml:space="preserve">Desbordamiento de longitud (&gt;2,5x </w:t>
            </w:r>
            <w:proofErr w:type="spellStart"/>
            <w:r>
              <w:t>ref</w:t>
            </w:r>
            <w:proofErr w:type="spellEnd"/>
            <w:r>
              <w:t>)</w:t>
            </w:r>
          </w:p>
        </w:tc>
        <w:tc>
          <w:tcPr>
            <w:tcW w:w="1296" w:type="dxa"/>
          </w:tcPr>
          <w:p w14:paraId="382C82A2" w14:textId="77777777" w:rsidR="00E65836" w:rsidRDefault="00000000">
            <w:pPr>
              <w:cnfStyle w:val="000000100000" w:firstRow="0" w:lastRow="0" w:firstColumn="0" w:lastColumn="0" w:oddVBand="0" w:evenVBand="0" w:oddHBand="1" w:evenHBand="0" w:firstRowFirstColumn="0" w:firstRowLastColumn="0" w:lastRowFirstColumn="0" w:lastRowLastColumn="0"/>
            </w:pPr>
            <w:r>
              <w:t>Inga-es</w:t>
            </w:r>
          </w:p>
        </w:tc>
        <w:tc>
          <w:tcPr>
            <w:tcW w:w="1296" w:type="dxa"/>
          </w:tcPr>
          <w:p w14:paraId="1E9C4C62" w14:textId="77777777" w:rsidR="00E65836" w:rsidRDefault="00000000">
            <w:pPr>
              <w:cnfStyle w:val="000000100000" w:firstRow="0" w:lastRow="0" w:firstColumn="0" w:lastColumn="0" w:oddVBand="0" w:evenVBand="0" w:oddHBand="1" w:evenHBand="0" w:firstRowFirstColumn="0" w:firstRowLastColumn="0" w:lastRowFirstColumn="0" w:lastRowLastColumn="0"/>
            </w:pPr>
            <w:r>
              <w:t>17</w:t>
            </w:r>
          </w:p>
        </w:tc>
        <w:tc>
          <w:tcPr>
            <w:tcW w:w="1296" w:type="dxa"/>
          </w:tcPr>
          <w:p w14:paraId="6D2B02AC" w14:textId="77777777" w:rsidR="00E65836" w:rsidRDefault="00000000">
            <w:pPr>
              <w:cnfStyle w:val="000000100000" w:firstRow="0" w:lastRow="0" w:firstColumn="0" w:lastColumn="0" w:oddVBand="0" w:evenVBand="0" w:oddHBand="1" w:evenHBand="0" w:firstRowFirstColumn="0" w:firstRowLastColumn="0" w:lastRowFirstColumn="0" w:lastRowLastColumn="0"/>
            </w:pPr>
            <w:r>
              <w:t>7</w:t>
            </w:r>
          </w:p>
        </w:tc>
        <w:tc>
          <w:tcPr>
            <w:tcW w:w="1296" w:type="dxa"/>
          </w:tcPr>
          <w:p w14:paraId="26126DBB" w14:textId="77777777" w:rsidR="00E65836" w:rsidRDefault="00000000">
            <w:pPr>
              <w:cnfStyle w:val="000000100000" w:firstRow="0" w:lastRow="0" w:firstColumn="0" w:lastColumn="0" w:oddVBand="0" w:evenVBand="0" w:oddHBand="1" w:evenHBand="0" w:firstRowFirstColumn="0" w:firstRowLastColumn="0" w:lastRowFirstColumn="0" w:lastRowLastColumn="0"/>
            </w:pPr>
            <w:r>
              <w:t>13</w:t>
            </w:r>
          </w:p>
        </w:tc>
        <w:tc>
          <w:tcPr>
            <w:tcW w:w="1296" w:type="dxa"/>
          </w:tcPr>
          <w:p w14:paraId="2C087255" w14:textId="77777777" w:rsidR="00E65836" w:rsidRDefault="00000000">
            <w:pPr>
              <w:cnfStyle w:val="000000100000" w:firstRow="0" w:lastRow="0" w:firstColumn="0" w:lastColumn="0" w:oddVBand="0" w:evenVBand="0" w:oddHBand="1" w:evenHBand="0" w:firstRowFirstColumn="0" w:firstRowLastColumn="0" w:lastRowFirstColumn="0" w:lastRowLastColumn="0"/>
            </w:pPr>
            <w:r>
              <w:t>12</w:t>
            </w:r>
          </w:p>
        </w:tc>
        <w:tc>
          <w:tcPr>
            <w:tcW w:w="1296" w:type="dxa"/>
          </w:tcPr>
          <w:p w14:paraId="5B16E0B9" w14:textId="77777777" w:rsidR="00E65836" w:rsidRDefault="00000000">
            <w:pPr>
              <w:cnfStyle w:val="000000100000" w:firstRow="0" w:lastRow="0" w:firstColumn="0" w:lastColumn="0" w:oddVBand="0" w:evenVBand="0" w:oddHBand="1" w:evenHBand="0" w:firstRowFirstColumn="0" w:firstRowLastColumn="0" w:lastRowFirstColumn="0" w:lastRowLastColumn="0"/>
            </w:pPr>
            <w:r>
              <w:t>13</w:t>
            </w:r>
          </w:p>
        </w:tc>
      </w:tr>
      <w:tr w:rsidR="00E65836" w14:paraId="0B13BF65"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08415608" w14:textId="77777777" w:rsidR="00E65836" w:rsidRDefault="00000000">
            <w:r>
              <w:lastRenderedPageBreak/>
              <w:t>Salidas con marcas de quechua sureño</w:t>
            </w:r>
          </w:p>
        </w:tc>
        <w:tc>
          <w:tcPr>
            <w:tcW w:w="1296" w:type="dxa"/>
          </w:tcPr>
          <w:p w14:paraId="4D8E389D" w14:textId="77777777" w:rsidR="00E65836" w:rsidRDefault="00000000">
            <w:pPr>
              <w:cnfStyle w:val="000000000000" w:firstRow="0" w:lastRow="0" w:firstColumn="0" w:lastColumn="0" w:oddVBand="0" w:evenVBand="0" w:oddHBand="0" w:evenHBand="0" w:firstRowFirstColumn="0" w:firstRowLastColumn="0" w:lastRowFirstColumn="0" w:lastRowLastColumn="0"/>
            </w:pPr>
            <w:r>
              <w:t>es-Inga</w:t>
            </w:r>
          </w:p>
        </w:tc>
        <w:tc>
          <w:tcPr>
            <w:tcW w:w="1296" w:type="dxa"/>
          </w:tcPr>
          <w:p w14:paraId="641EB25B" w14:textId="77777777" w:rsidR="00E65836" w:rsidRDefault="00000000">
            <w:pPr>
              <w:cnfStyle w:val="000000000000" w:firstRow="0" w:lastRow="0" w:firstColumn="0" w:lastColumn="0" w:oddVBand="0" w:evenVBand="0" w:oddHBand="0" w:evenHBand="0" w:firstRowFirstColumn="0" w:firstRowLastColumn="0" w:lastRowFirstColumn="0" w:lastRowLastColumn="0"/>
            </w:pPr>
            <w:r>
              <w:t>93</w:t>
            </w:r>
          </w:p>
        </w:tc>
        <w:tc>
          <w:tcPr>
            <w:tcW w:w="1296" w:type="dxa"/>
          </w:tcPr>
          <w:p w14:paraId="08AD264D" w14:textId="77777777" w:rsidR="00E65836" w:rsidRDefault="00000000">
            <w:pPr>
              <w:cnfStyle w:val="000000000000" w:firstRow="0" w:lastRow="0" w:firstColumn="0" w:lastColumn="0" w:oddVBand="0" w:evenVBand="0" w:oddHBand="0" w:evenHBand="0" w:firstRowFirstColumn="0" w:firstRowLastColumn="0" w:lastRowFirstColumn="0" w:lastRowLastColumn="0"/>
            </w:pPr>
            <w:r>
              <w:t>21</w:t>
            </w:r>
          </w:p>
        </w:tc>
        <w:tc>
          <w:tcPr>
            <w:tcW w:w="1296" w:type="dxa"/>
          </w:tcPr>
          <w:p w14:paraId="75A31842" w14:textId="77777777" w:rsidR="00E65836" w:rsidRDefault="00000000">
            <w:pPr>
              <w:cnfStyle w:val="000000000000" w:firstRow="0" w:lastRow="0" w:firstColumn="0" w:lastColumn="0" w:oddVBand="0" w:evenVBand="0" w:oddHBand="0" w:evenHBand="0" w:firstRowFirstColumn="0" w:firstRowLastColumn="0" w:lastRowFirstColumn="0" w:lastRowLastColumn="0"/>
            </w:pPr>
            <w:r>
              <w:t>57</w:t>
            </w:r>
          </w:p>
        </w:tc>
        <w:tc>
          <w:tcPr>
            <w:tcW w:w="1296" w:type="dxa"/>
          </w:tcPr>
          <w:p w14:paraId="0CE69657" w14:textId="77777777" w:rsidR="00E65836" w:rsidRDefault="00000000">
            <w:pPr>
              <w:cnfStyle w:val="000000000000" w:firstRow="0" w:lastRow="0" w:firstColumn="0" w:lastColumn="0" w:oddVBand="0" w:evenVBand="0" w:oddHBand="0" w:evenHBand="0" w:firstRowFirstColumn="0" w:firstRowLastColumn="0" w:lastRowFirstColumn="0" w:lastRowLastColumn="0"/>
            </w:pPr>
            <w:r>
              <w:t>52</w:t>
            </w:r>
          </w:p>
        </w:tc>
        <w:tc>
          <w:tcPr>
            <w:tcW w:w="1296" w:type="dxa"/>
          </w:tcPr>
          <w:p w14:paraId="05222C8D" w14:textId="77777777" w:rsidR="00E65836" w:rsidRDefault="00000000">
            <w:pPr>
              <w:cnfStyle w:val="000000000000" w:firstRow="0" w:lastRow="0" w:firstColumn="0" w:lastColumn="0" w:oddVBand="0" w:evenVBand="0" w:oddHBand="0" w:evenHBand="0" w:firstRowFirstColumn="0" w:firstRowLastColumn="0" w:lastRowFirstColumn="0" w:lastRowLastColumn="0"/>
            </w:pPr>
            <w:r>
              <w:t>44</w:t>
            </w:r>
          </w:p>
        </w:tc>
      </w:tr>
      <w:tr w:rsidR="00E65836" w14:paraId="5CFFB1B3"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FA23294" w14:textId="77777777" w:rsidR="00E65836" w:rsidRDefault="00000000">
            <w:r>
              <w:t>Salidas con marcas de Inga</w:t>
            </w:r>
          </w:p>
        </w:tc>
        <w:tc>
          <w:tcPr>
            <w:tcW w:w="1296" w:type="dxa"/>
          </w:tcPr>
          <w:p w14:paraId="5C7B03AC" w14:textId="77777777" w:rsidR="00E65836" w:rsidRDefault="00000000">
            <w:pPr>
              <w:cnfStyle w:val="000000100000" w:firstRow="0" w:lastRow="0" w:firstColumn="0" w:lastColumn="0" w:oddVBand="0" w:evenVBand="0" w:oddHBand="1" w:evenHBand="0" w:firstRowFirstColumn="0" w:firstRowLastColumn="0" w:lastRowFirstColumn="0" w:lastRowLastColumn="0"/>
            </w:pPr>
            <w:r>
              <w:t>es-Inga</w:t>
            </w:r>
          </w:p>
        </w:tc>
        <w:tc>
          <w:tcPr>
            <w:tcW w:w="1296" w:type="dxa"/>
          </w:tcPr>
          <w:p w14:paraId="7648C841" w14:textId="77777777" w:rsidR="00E65836" w:rsidRDefault="00000000">
            <w:pPr>
              <w:cnfStyle w:val="000000100000" w:firstRow="0" w:lastRow="0" w:firstColumn="0" w:lastColumn="0" w:oddVBand="0" w:evenVBand="0" w:oddHBand="1" w:evenHBand="0" w:firstRowFirstColumn="0" w:firstRowLastColumn="0" w:lastRowFirstColumn="0" w:lastRowLastColumn="0"/>
            </w:pPr>
            <w:r>
              <w:t>13</w:t>
            </w:r>
          </w:p>
        </w:tc>
        <w:tc>
          <w:tcPr>
            <w:tcW w:w="1296" w:type="dxa"/>
          </w:tcPr>
          <w:p w14:paraId="61375F98" w14:textId="77777777" w:rsidR="00E65836" w:rsidRDefault="00000000">
            <w:pPr>
              <w:cnfStyle w:val="000000100000" w:firstRow="0" w:lastRow="0" w:firstColumn="0" w:lastColumn="0" w:oddVBand="0" w:evenVBand="0" w:oddHBand="1" w:evenHBand="0" w:firstRowFirstColumn="0" w:firstRowLastColumn="0" w:lastRowFirstColumn="0" w:lastRowLastColumn="0"/>
            </w:pPr>
            <w:r>
              <w:t>46</w:t>
            </w:r>
          </w:p>
        </w:tc>
        <w:tc>
          <w:tcPr>
            <w:tcW w:w="1296" w:type="dxa"/>
          </w:tcPr>
          <w:p w14:paraId="245B3F55" w14:textId="77777777" w:rsidR="00E65836" w:rsidRDefault="00000000">
            <w:pPr>
              <w:cnfStyle w:val="000000100000" w:firstRow="0" w:lastRow="0" w:firstColumn="0" w:lastColumn="0" w:oddVBand="0" w:evenVBand="0" w:oddHBand="1" w:evenHBand="0" w:firstRowFirstColumn="0" w:firstRowLastColumn="0" w:lastRowFirstColumn="0" w:lastRowLastColumn="0"/>
            </w:pPr>
            <w:r>
              <w:t>14</w:t>
            </w:r>
          </w:p>
        </w:tc>
        <w:tc>
          <w:tcPr>
            <w:tcW w:w="1296" w:type="dxa"/>
          </w:tcPr>
          <w:p w14:paraId="5B99760C" w14:textId="77777777" w:rsidR="00E65836" w:rsidRDefault="00000000">
            <w:pPr>
              <w:cnfStyle w:val="000000100000" w:firstRow="0" w:lastRow="0" w:firstColumn="0" w:lastColumn="0" w:oddVBand="0" w:evenVBand="0" w:oddHBand="1" w:evenHBand="0" w:firstRowFirstColumn="0" w:firstRowLastColumn="0" w:lastRowFirstColumn="0" w:lastRowLastColumn="0"/>
            </w:pPr>
            <w:r>
              <w:t>46</w:t>
            </w:r>
          </w:p>
        </w:tc>
        <w:tc>
          <w:tcPr>
            <w:tcW w:w="1296" w:type="dxa"/>
          </w:tcPr>
          <w:p w14:paraId="29527FDB" w14:textId="77777777" w:rsidR="00E65836" w:rsidRDefault="00000000">
            <w:pPr>
              <w:cnfStyle w:val="000000100000" w:firstRow="0" w:lastRow="0" w:firstColumn="0" w:lastColumn="0" w:oddVBand="0" w:evenVBand="0" w:oddHBand="1" w:evenHBand="0" w:firstRowFirstColumn="0" w:firstRowLastColumn="0" w:lastRowFirstColumn="0" w:lastRowLastColumn="0"/>
            </w:pPr>
            <w:r>
              <w:t>49</w:t>
            </w:r>
          </w:p>
        </w:tc>
      </w:tr>
      <w:tr w:rsidR="00E65836" w14:paraId="698BD614"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58510242" w14:textId="77777777" w:rsidR="00E65836" w:rsidRDefault="00000000">
            <w:r>
              <w:t>Salidas vacías o truncadas</w:t>
            </w:r>
          </w:p>
        </w:tc>
        <w:tc>
          <w:tcPr>
            <w:tcW w:w="1296" w:type="dxa"/>
          </w:tcPr>
          <w:p w14:paraId="36D07CD6" w14:textId="77777777" w:rsidR="00E65836" w:rsidRDefault="00000000">
            <w:pPr>
              <w:cnfStyle w:val="000000000000" w:firstRow="0" w:lastRow="0" w:firstColumn="0" w:lastColumn="0" w:oddVBand="0" w:evenVBand="0" w:oddHBand="0" w:evenHBand="0" w:firstRowFirstColumn="0" w:firstRowLastColumn="0" w:lastRowFirstColumn="0" w:lastRowLastColumn="0"/>
            </w:pPr>
            <w:r>
              <w:t>ambas</w:t>
            </w:r>
          </w:p>
        </w:tc>
        <w:tc>
          <w:tcPr>
            <w:tcW w:w="1296" w:type="dxa"/>
          </w:tcPr>
          <w:p w14:paraId="7751F5EE"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1E54A3A6"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3016D845"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7773950C"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2829E03A"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r>
    </w:tbl>
    <w:p w14:paraId="34A0A245"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 Elaboración propia a partir del Notebook 11. Los conteos de repetición y desbordamiento son algorítmicos; los de variante lingüística son heurísticos y deben leerse como tendencia.</w:t>
      </w:r>
    </w:p>
    <w:p w14:paraId="117E0537"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138" w:name="_Toc230950283"/>
      <w:bookmarkStart w:id="139" w:name="_Toc233199101"/>
      <w:r w:rsidRPr="3DB4A857">
        <w:rPr>
          <w:rFonts w:ascii="Calibri Light" w:eastAsia="Calibri Light" w:hAnsi="Calibri Light" w:cs="Calibri Light"/>
          <w:bCs w:val="0"/>
          <w:iCs w:val="0"/>
        </w:rPr>
        <w:t>4.7 Repositorio de código y datos</w:t>
      </w:r>
      <w:bookmarkEnd w:id="138"/>
      <w:bookmarkEnd w:id="139"/>
    </w:p>
    <w:p w14:paraId="2A9AC1C9"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código del proyecto se organiza ahora como un paquete Python reproducible bajo </w:t>
      </w:r>
      <w:proofErr w:type="spellStart"/>
      <w:proofErr w:type="gramStart"/>
      <w:r w:rsidRPr="00A1331B">
        <w:rPr>
          <w:rFonts w:ascii="Consolas" w:eastAsia="Consolas" w:hAnsi="Consolas" w:cs="Consolas"/>
          <w:color w:val="000000" w:themeColor="text1"/>
        </w:rPr>
        <w:t>pyproject.toml</w:t>
      </w:r>
      <w:proofErr w:type="spellEnd"/>
      <w:proofErr w:type="gramEnd"/>
      <w:r w:rsidRPr="00A1331B">
        <w:rPr>
          <w:rFonts w:ascii="Calibri" w:eastAsia="Calibri" w:hAnsi="Calibri" w:cs="Calibri"/>
          <w:color w:val="000000" w:themeColor="text1"/>
        </w:rPr>
        <w:t xml:space="preserve"> con dependencias bloqueadas en </w:t>
      </w:r>
      <w:proofErr w:type="spellStart"/>
      <w:proofErr w:type="gramStart"/>
      <w:r w:rsidRPr="00A1331B">
        <w:rPr>
          <w:rFonts w:ascii="Consolas" w:eastAsia="Consolas" w:hAnsi="Consolas" w:cs="Consolas"/>
          <w:color w:val="000000" w:themeColor="text1"/>
        </w:rPr>
        <w:t>uv.lock</w:t>
      </w:r>
      <w:proofErr w:type="spellEnd"/>
      <w:proofErr w:type="gramEnd"/>
      <w:r w:rsidRPr="00A1331B">
        <w:rPr>
          <w:rFonts w:ascii="Calibri" w:eastAsia="Calibri" w:hAnsi="Calibri" w:cs="Calibri"/>
          <w:color w:val="000000" w:themeColor="text1"/>
        </w:rPr>
        <w:t xml:space="preserve">. El árbol del repositorio incluye doce notebooks (00 a 11) que cubren desde la configuración del entorno hasta la evaluación comparativa, un paquete </w:t>
      </w:r>
      <w:proofErr w:type="spellStart"/>
      <w:r w:rsidRPr="00A1331B">
        <w:rPr>
          <w:rFonts w:ascii="Consolas" w:eastAsia="Consolas" w:hAnsi="Consolas" w:cs="Consolas"/>
          <w:color w:val="000000" w:themeColor="text1"/>
        </w:rPr>
        <w:t>src</w:t>
      </w:r>
      <w:proofErr w:type="spellEnd"/>
      <w:r w:rsidRPr="00A1331B">
        <w:rPr>
          <w:rFonts w:ascii="Consolas" w:eastAsia="Consolas" w:hAnsi="Consolas" w:cs="Consolas"/>
          <w:color w:val="000000" w:themeColor="text1"/>
        </w:rPr>
        <w:t>/</w:t>
      </w:r>
      <w:r w:rsidRPr="00A1331B">
        <w:rPr>
          <w:rFonts w:ascii="Calibri" w:eastAsia="Calibri" w:hAnsi="Calibri" w:cs="Calibri"/>
          <w:color w:val="000000" w:themeColor="text1"/>
        </w:rPr>
        <w:t xml:space="preserve"> con los módulos reutilizables del RAG (</w:t>
      </w:r>
      <w:proofErr w:type="spellStart"/>
      <w:r w:rsidRPr="00A1331B">
        <w:rPr>
          <w:rFonts w:ascii="Consolas" w:eastAsia="Consolas" w:hAnsi="Consolas" w:cs="Consolas"/>
          <w:color w:val="000000" w:themeColor="text1"/>
        </w:rPr>
        <w:t>embeddings</w:t>
      </w:r>
      <w:proofErr w:type="spellEnd"/>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indexes</w:t>
      </w:r>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retriever</w:t>
      </w:r>
      <w:proofErr w:type="spellEnd"/>
      <w:r w:rsidRPr="00A1331B">
        <w:rPr>
          <w:rFonts w:ascii="Calibri" w:eastAsia="Calibri" w:hAnsi="Calibri" w:cs="Calibri"/>
          <w:color w:val="000000" w:themeColor="text1"/>
        </w:rPr>
        <w:t>), del fine-tuning (</w:t>
      </w:r>
      <w:proofErr w:type="spellStart"/>
      <w:r w:rsidRPr="00A1331B">
        <w:rPr>
          <w:rFonts w:ascii="Consolas" w:eastAsia="Consolas" w:hAnsi="Consolas" w:cs="Consolas"/>
          <w:color w:val="000000" w:themeColor="text1"/>
        </w:rPr>
        <w:t>nllb_lora</w:t>
      </w:r>
      <w:proofErr w:type="spellEnd"/>
      <w:r w:rsidRPr="00A1331B">
        <w:rPr>
          <w:rFonts w:ascii="Calibri" w:eastAsia="Calibri" w:hAnsi="Calibri" w:cs="Calibri"/>
          <w:color w:val="000000" w:themeColor="text1"/>
        </w:rPr>
        <w:t>), del pipeline LLM (</w:t>
      </w:r>
      <w:proofErr w:type="spellStart"/>
      <w:r w:rsidRPr="00A1331B">
        <w:rPr>
          <w:rFonts w:ascii="Consolas" w:eastAsia="Consolas" w:hAnsi="Consolas" w:cs="Consolas"/>
          <w:color w:val="000000" w:themeColor="text1"/>
        </w:rPr>
        <w:t>claude_rag</w:t>
      </w:r>
      <w:proofErr w:type="spellEnd"/>
      <w:r w:rsidRPr="00A1331B">
        <w:rPr>
          <w:rFonts w:ascii="Calibri" w:eastAsia="Calibri" w:hAnsi="Calibri" w:cs="Calibri"/>
          <w:color w:val="000000" w:themeColor="text1"/>
        </w:rPr>
        <w:t>) y de la evaluación (</w:t>
      </w:r>
      <w:proofErr w:type="spellStart"/>
      <w:r w:rsidRPr="00A1331B">
        <w:rPr>
          <w:rFonts w:ascii="Consolas" w:eastAsia="Consolas" w:hAnsi="Consolas" w:cs="Consolas"/>
          <w:color w:val="000000" w:themeColor="text1"/>
        </w:rPr>
        <w:t>metrics</w:t>
      </w:r>
      <w:proofErr w:type="spellEnd"/>
      <w:r w:rsidRPr="00A1331B">
        <w:rPr>
          <w:rFonts w:ascii="Calibri" w:eastAsia="Calibri" w:hAnsi="Calibri" w:cs="Calibri"/>
          <w:color w:val="000000" w:themeColor="text1"/>
        </w:rPr>
        <w:t xml:space="preserve">), y los corpus generados bajo </w:t>
      </w:r>
      <w:r w:rsidRPr="00A1331B">
        <w:rPr>
          <w:rFonts w:ascii="Consolas" w:eastAsia="Consolas" w:hAnsi="Consolas" w:cs="Consolas"/>
          <w:color w:val="000000" w:themeColor="text1"/>
        </w:rPr>
        <w:t>datos/</w:t>
      </w:r>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corpus_</w:t>
      </w:r>
      <w:proofErr w:type="gramStart"/>
      <w:r w:rsidRPr="00A1331B">
        <w:rPr>
          <w:rFonts w:ascii="Consolas" w:eastAsia="Consolas" w:hAnsi="Consolas" w:cs="Consolas"/>
          <w:color w:val="000000" w:themeColor="text1"/>
        </w:rPr>
        <w:t>paralelo.jsonl</w:t>
      </w:r>
      <w:proofErr w:type="spellEnd"/>
      <w:proofErr w:type="gramEnd"/>
      <w:r w:rsidRPr="00A1331B">
        <w:rPr>
          <w:rFonts w:ascii="Calibri" w:eastAsia="Calibri" w:hAnsi="Calibri" w:cs="Calibri"/>
          <w:color w:val="000000" w:themeColor="text1"/>
        </w:rPr>
        <w:t xml:space="preserve">, las tres particiones, las predicciones por configuración, las métricas consolidadas). Los pesos del adaptador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y los índices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están excluidos del control de versiones por su tamaño, pero se regeneran íntegramente al </w:t>
      </w:r>
      <w:proofErr w:type="spellStart"/>
      <w:r w:rsidRPr="00A1331B">
        <w:rPr>
          <w:rFonts w:ascii="Calibri" w:eastAsia="Calibri" w:hAnsi="Calibri" w:cs="Calibri"/>
          <w:color w:val="000000" w:themeColor="text1"/>
        </w:rPr>
        <w:t>reejecutar</w:t>
      </w:r>
      <w:proofErr w:type="spellEnd"/>
      <w:r w:rsidRPr="00A1331B">
        <w:rPr>
          <w:rFonts w:ascii="Calibri" w:eastAsia="Calibri" w:hAnsi="Calibri" w:cs="Calibri"/>
          <w:color w:val="000000" w:themeColor="text1"/>
        </w:rPr>
        <w:t xml:space="preserve"> los notebooks correspondientes sobre los recursos primarios. El detalle completo se encuentra en el Anexo A.</w:t>
      </w:r>
    </w:p>
    <w:p w14:paraId="0E08F558" w14:textId="77777777" w:rsidR="00636E09" w:rsidRDefault="00636E09" w:rsidP="3DB4A857">
      <w:pPr>
        <w:pStyle w:val="Heading1"/>
        <w:numPr>
          <w:ilvl w:val="0"/>
          <w:numId w:val="0"/>
        </w:numPr>
        <w:ind w:left="360"/>
      </w:pPr>
    </w:p>
    <w:p w14:paraId="08B8E2BA" w14:textId="77777777" w:rsidR="3DB4A857" w:rsidRDefault="3DB4A857" w:rsidP="3DB4A857"/>
    <w:p w14:paraId="37DE9E10" w14:textId="77777777" w:rsidR="3DB4A857" w:rsidRDefault="3DB4A857" w:rsidP="3DB4A857"/>
    <w:p w14:paraId="726290E5" w14:textId="77777777" w:rsidR="3DB4A857" w:rsidRDefault="3DB4A857" w:rsidP="3DB4A857"/>
    <w:p w14:paraId="4A5D8D2A" w14:textId="77777777" w:rsidR="3DB4A857" w:rsidRDefault="3DB4A857" w:rsidP="3DB4A857"/>
    <w:p w14:paraId="01FD545C" w14:textId="77777777" w:rsidR="144CAD69" w:rsidRDefault="144CAD69" w:rsidP="3DB4A857">
      <w:pPr>
        <w:pStyle w:val="Heading1"/>
        <w:numPr>
          <w:ilvl w:val="0"/>
          <w:numId w:val="0"/>
        </w:numPr>
        <w:ind w:left="720"/>
        <w:rPr>
          <w:rFonts w:ascii="Calibri Light" w:eastAsia="Calibri Light" w:hAnsi="Calibri Light" w:cs="Calibri Light"/>
          <w:bCs w:val="0"/>
          <w:szCs w:val="36"/>
        </w:rPr>
      </w:pPr>
      <w:bookmarkStart w:id="140" w:name="_Toc230950284"/>
      <w:bookmarkStart w:id="141" w:name="_Toc233199102"/>
      <w:r w:rsidRPr="3DB4A857">
        <w:rPr>
          <w:rFonts w:ascii="Calibri Light" w:eastAsia="Calibri Light" w:hAnsi="Calibri Light" w:cs="Calibri Light"/>
          <w:bCs w:val="0"/>
          <w:szCs w:val="36"/>
        </w:rPr>
        <w:lastRenderedPageBreak/>
        <w:t>5. Conclusiones y trabajo futuro</w:t>
      </w:r>
      <w:bookmarkEnd w:id="140"/>
      <w:bookmarkEnd w:id="141"/>
    </w:p>
    <w:p w14:paraId="6E9A0790"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142" w:name="_Toc230950285"/>
      <w:bookmarkStart w:id="143" w:name="_Toc233199103"/>
      <w:r w:rsidRPr="3DB4A857">
        <w:rPr>
          <w:rFonts w:ascii="Calibri Light" w:eastAsia="Calibri Light" w:hAnsi="Calibri Light" w:cs="Calibri Light"/>
          <w:bCs w:val="0"/>
          <w:iCs w:val="0"/>
        </w:rPr>
        <w:t>5.1 Conclusiones</w:t>
      </w:r>
      <w:bookmarkEnd w:id="142"/>
      <w:bookmarkEnd w:id="143"/>
    </w:p>
    <w:p w14:paraId="26211DB9"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El trabajo demuestra la viabilidad técnica de construir un sistema bidireccional de traducción automática Inga-español a partir de fuentes primarias heterogéneas y mediante dos paradigmas complementarios. Cinco resultados concretos sustentan esta afirmación.</w:t>
      </w:r>
    </w:p>
    <w:p w14:paraId="5F7DF6BB"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Primero, el corpus paralelo Inga-</w:t>
      </w:r>
      <w:proofErr w:type="gramStart"/>
      <w:r w:rsidRPr="3DB4A857">
        <w:rPr>
          <w:rFonts w:ascii="Calibri" w:eastAsia="Calibri" w:hAnsi="Calibri" w:cs="Calibri"/>
          <w:color w:val="000000" w:themeColor="text1"/>
        </w:rPr>
        <w:t>Español</w:t>
      </w:r>
      <w:proofErr w:type="gramEnd"/>
      <w:r w:rsidRPr="3DB4A857">
        <w:rPr>
          <w:rFonts w:ascii="Calibri" w:eastAsia="Calibri" w:hAnsi="Calibri" w:cs="Calibri"/>
          <w:color w:val="000000" w:themeColor="text1"/>
        </w:rPr>
        <w:t xml:space="preserve"> alcanzó 5.589 pares verificados, una cifra que excede el umbral de los 5.000 pares planteado como meta mínima del proyecto y que supera ampliamente las cifras reportadas por los antecedentes académicos directos para el par lingüístico (Prieto et al., 2024; Salazar et al., 2025). La fuente del 100% de estos pares es el Nuevo Testamento, alineado canónicamente entre la traducción </w:t>
      </w:r>
      <w:proofErr w:type="spellStart"/>
      <w:r w:rsidRPr="3DB4A857">
        <w:rPr>
          <w:rFonts w:ascii="Calibri" w:eastAsia="Calibri" w:hAnsi="Calibri" w:cs="Calibri"/>
          <w:color w:val="000000" w:themeColor="text1"/>
        </w:rPr>
        <w:t>Wycliffe</w:t>
      </w:r>
      <w:proofErr w:type="spellEnd"/>
      <w:r w:rsidRPr="3DB4A857">
        <w:rPr>
          <w:rFonts w:ascii="Calibri" w:eastAsia="Calibri" w:hAnsi="Calibri" w:cs="Calibri"/>
          <w:color w:val="000000" w:themeColor="text1"/>
        </w:rPr>
        <w:t xml:space="preserve"> en Inga y la traducción Reina-Valera 1909 en español. La elección de Reina-Valera 1909 sobre otras alternativas católicas como la Biblia Latinoamericana responde a una restricción de licenciamiento que se evaluó explícitamente: el compromiso del proyecto con la liberación abierta de recursos para la comunidad Inga es incompatible con la inclusión de texto bajo copyright vigente.</w:t>
      </w:r>
    </w:p>
    <w:p w14:paraId="7E6F4A6F"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Segundo, el diseño del sistema de recuperación aumentada se materializó en cuatro índices vectoriales operativos sobre </w:t>
      </w:r>
      <w:proofErr w:type="spellStart"/>
      <w:r w:rsidRPr="3DB4A857">
        <w:rPr>
          <w:rFonts w:ascii="Calibri" w:eastAsia="Calibri" w:hAnsi="Calibri" w:cs="Calibri"/>
          <w:color w:val="000000" w:themeColor="text1"/>
        </w:rPr>
        <w:t>LanceDB</w:t>
      </w:r>
      <w:proofErr w:type="spellEnd"/>
      <w:r w:rsidRPr="3DB4A857">
        <w:rPr>
          <w:rFonts w:ascii="Calibri" w:eastAsia="Calibri" w:hAnsi="Calibri" w:cs="Calibri"/>
          <w:color w:val="000000" w:themeColor="text1"/>
        </w:rPr>
        <w:t xml:space="preserve"> con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 xml:space="preserve"> producidos por </w:t>
      </w:r>
      <w:r w:rsidRPr="3DB4A857">
        <w:rPr>
          <w:rFonts w:ascii="Consolas" w:eastAsia="Consolas" w:hAnsi="Consolas" w:cs="Consolas"/>
          <w:color w:val="000000" w:themeColor="text1"/>
        </w:rPr>
        <w:t>gemini-embedding-001</w:t>
      </w:r>
      <w:r w:rsidRPr="3DB4A857">
        <w:rPr>
          <w:rFonts w:ascii="Calibri" w:eastAsia="Calibri" w:hAnsi="Calibri" w:cs="Calibri"/>
          <w:color w:val="000000" w:themeColor="text1"/>
        </w:rPr>
        <w:t xml:space="preserve">. La validación cualitativa del </w:t>
      </w:r>
      <w:proofErr w:type="spellStart"/>
      <w:r w:rsidRPr="3DB4A857">
        <w:rPr>
          <w:rFonts w:ascii="Calibri" w:eastAsia="Calibri" w:hAnsi="Calibri" w:cs="Calibri"/>
          <w:color w:val="000000" w:themeColor="text1"/>
        </w:rPr>
        <w:t>retriever</w:t>
      </w:r>
      <w:proofErr w:type="spellEnd"/>
      <w:r w:rsidRPr="3DB4A857">
        <w:rPr>
          <w:rFonts w:ascii="Calibri" w:eastAsia="Calibri" w:hAnsi="Calibri" w:cs="Calibri"/>
          <w:color w:val="000000" w:themeColor="text1"/>
        </w:rPr>
        <w:t xml:space="preserve"> sobre tres </w:t>
      </w:r>
      <w:proofErr w:type="spellStart"/>
      <w:r w:rsidRPr="3DB4A857">
        <w:rPr>
          <w:rFonts w:ascii="Calibri" w:eastAsia="Calibri" w:hAnsi="Calibri" w:cs="Calibri"/>
          <w:color w:val="000000" w:themeColor="text1"/>
        </w:rPr>
        <w:t>queries</w:t>
      </w:r>
      <w:proofErr w:type="spellEnd"/>
      <w:r w:rsidRPr="3DB4A857">
        <w:rPr>
          <w:rFonts w:ascii="Calibri" w:eastAsia="Calibri" w:hAnsi="Calibri" w:cs="Calibri"/>
          <w:color w:val="000000" w:themeColor="text1"/>
        </w:rPr>
        <w:t xml:space="preserve"> representativas (una palabra suelta, una frase corta, una oración completa) confirma que el sistema recupera contexto semánticamente relevante en los tres niveles de granularidad. La existencia del cuarto índice (</w:t>
      </w:r>
      <w:proofErr w:type="spellStart"/>
      <w:r w:rsidRPr="3DB4A857">
        <w:rPr>
          <w:rFonts w:ascii="Consolas" w:eastAsia="Consolas" w:hAnsi="Consolas" w:cs="Consolas"/>
          <w:color w:val="000000" w:themeColor="text1"/>
        </w:rPr>
        <w:t>ejemplos_es</w:t>
      </w:r>
      <w:proofErr w:type="spellEnd"/>
      <w:r w:rsidRPr="3DB4A857">
        <w:rPr>
          <w:rFonts w:ascii="Calibri" w:eastAsia="Calibri" w:hAnsi="Calibri" w:cs="Calibri"/>
          <w:color w:val="000000" w:themeColor="text1"/>
        </w:rPr>
        <w:t xml:space="preserve">) habilita la dirección de traducción español a Inga sin necesidad de reentrenar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w:t>
      </w:r>
    </w:p>
    <w:p w14:paraId="0E8770C0"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Tercero, la adaptación de NLLB-200-distilled-600M mediante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quedó implementada como pipeline reproducible con el corpus duplicado para entrenamiento bidireccional. Un único adaptador sirve para ambas direcciones según los códigos de lengua que se le pasen al </w:t>
      </w:r>
      <w:proofErr w:type="spellStart"/>
      <w:r w:rsidRPr="3DB4A857">
        <w:rPr>
          <w:rFonts w:ascii="Calibri" w:eastAsia="Calibri" w:hAnsi="Calibri" w:cs="Calibri"/>
          <w:color w:val="000000" w:themeColor="text1"/>
        </w:rPr>
        <w:t>tokenizador</w:t>
      </w:r>
      <w:proofErr w:type="spellEnd"/>
      <w:r w:rsidRPr="3DB4A857">
        <w:rPr>
          <w:rFonts w:ascii="Calibri" w:eastAsia="Calibri" w:hAnsi="Calibri" w:cs="Calibri"/>
          <w:color w:val="000000" w:themeColor="text1"/>
        </w:rPr>
        <w:t xml:space="preserve"> en inferencia, lo que reduce el costo de almacenamiento y mantenimiento respecto a entrenar dos adaptadores independientes.</w:t>
      </w:r>
    </w:p>
    <w:p w14:paraId="7CFD22EE"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lastRenderedPageBreak/>
        <w:t xml:space="preserve">Cuarto, el pipeline LLM más RAG con Claude Opus 4.7 opera con </w:t>
      </w:r>
      <w:r w:rsidRPr="3DB4A857">
        <w:rPr>
          <w:rFonts w:ascii="Calibri" w:eastAsia="Calibri" w:hAnsi="Calibri" w:cs="Calibri"/>
          <w:i/>
          <w:iCs/>
          <w:color w:val="000000" w:themeColor="text1"/>
        </w:rPr>
        <w:t>prompts</w:t>
      </w:r>
      <w:r w:rsidRPr="3DB4A857">
        <w:rPr>
          <w:rFonts w:ascii="Calibri" w:eastAsia="Calibri" w:hAnsi="Calibri" w:cs="Calibri"/>
          <w:color w:val="000000" w:themeColor="text1"/>
        </w:rPr>
        <w:t xml:space="preserve"> estructurados específicos por dirección, donde el </w:t>
      </w:r>
      <w:proofErr w:type="spellStart"/>
      <w:r w:rsidRPr="3DB4A857">
        <w:rPr>
          <w:rFonts w:ascii="Calibri" w:eastAsia="Calibri" w:hAnsi="Calibri" w:cs="Calibri"/>
          <w:i/>
          <w:iCs/>
          <w:color w:val="000000" w:themeColor="text1"/>
        </w:rPr>
        <w:t>prompt</w:t>
      </w:r>
      <w:proofErr w:type="spellEnd"/>
      <w:r w:rsidRPr="3DB4A857">
        <w:rPr>
          <w:rFonts w:ascii="Calibri" w:eastAsia="Calibri" w:hAnsi="Calibri" w:cs="Calibri"/>
          <w:color w:val="000000" w:themeColor="text1"/>
        </w:rPr>
        <w:t xml:space="preserve"> para español-Inga enfatiza la primacía del vocabulario y la gramática recuperados sobre el conocimiento previo del modelo, dado que Claude tiene exposición limitada al Inga durante su preentrenamiento. El sistema produce traducciones léxicamente fieles a la referencia en la mayoría de los versículos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 xml:space="preserve"> y recupera correctamente la dirección español-Inga, evitando los modos de fallo de repetición observados en el adaptador NLLB.</w:t>
      </w:r>
    </w:p>
    <w:p w14:paraId="1631F29C"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Quinto, la evaluación comparativa de las cinco configuraciones experimentales (A, B, C, D y E) en ambas direcciones se ejecutó sobre 100 ejemplos del conjunto de validación, con métricas BLEU,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consolidadas en la Tabla 8. La configuración D (Claude Opus 4.7 con recuperación aumentada multi-índice) obtiene el mejor desempeño en las dos direcciones y en las tres métricas: 17,89 BLEU y 0,790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en Inga-español; 10,95 BLEU y 0,788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en español-Inga. La ganancia respecto al modelo de frontera sin recuperación (configuración C) es de 13,5 puntos BLEU en Inga-español y 10,6 puntos en español-Inga, cifras que confirman empíricamente el aporte del paradigma RAG-MT al rendimiento de un modelo de frontera operando sobre una lengua de recursos extremadamente bajos.</w:t>
      </w:r>
    </w:p>
    <w:p w14:paraId="25EAE650"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El recorrido del trabajo permite afirmar que la barrera principal para la traducción automática del par Inga-español no es la arquitectura del modelo sino la disponibilidad de contexto en tiempo de inferencia. Las cinco configuraciones evaluadas comparten modelos base sólidos; lo que las separa es cuánto saben del Inga del Putumayo en el momento de traducir. Esa observación, que en el capítulo 4 aparece como un dato, aquí se eleva a conclusión: para una lengua con menos de seis mil pares paralelos, inyectar ejemplos recuperados rinde más que ajustar los pesos con esos mismos pares.</w:t>
      </w:r>
    </w:p>
    <w:p w14:paraId="3F9244E8"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Una segunda conclusión, de orden metodológico, es que la evaluación exclusivamente automática resulta insuficiente para este par de lenguas. Como se mostró en la subsección cualitativa, un sistema puede obtener un BLEU bajo y aun así producir una salida gramatical, o puede generar una lengua quechua distinta del Inga sin que la métrica lo distinga con claridad. Cualquier trabajo posterior sobre el Inga debería combinar métricas de n-gramas con revisión por hablantes, aunque sea sobre muestras pequeñas.</w:t>
      </w:r>
    </w:p>
    <w:p w14:paraId="1534FE9A"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144" w:name="_Toc230950286"/>
      <w:bookmarkStart w:id="145" w:name="_Toc233199104"/>
      <w:r w:rsidRPr="3DB4A857">
        <w:rPr>
          <w:rFonts w:ascii="Calibri Light" w:eastAsia="Calibri Light" w:hAnsi="Calibri Light" w:cs="Calibri Light"/>
          <w:bCs w:val="0"/>
          <w:iCs w:val="0"/>
        </w:rPr>
        <w:lastRenderedPageBreak/>
        <w:t>5.2 Discusión</w:t>
      </w:r>
      <w:bookmarkEnd w:id="144"/>
      <w:bookmarkEnd w:id="145"/>
    </w:p>
    <w:p w14:paraId="2D1808B4"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Cuatro observaciones se derivan del cruce entre los hallazgos cuantitativos del Capítulo 4 y la literatura reciente sobre traducción de lenguas de bajos recursos.</w:t>
      </w:r>
    </w:p>
    <w:p w14:paraId="0E12A20F"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primera observación concierne al efecto del ajuste fino del modelo multilingüe respecto al modelo de frontera. La configuración B (NLLB-200 con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bidireccional) mejora sustancialmente sobre el modelo base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(configuración A) en la dirección Inga-español, donde el BLEU asciende de 1,82 a 8,18. Sin embargo, la configuración D supera a B por un factor cercano a 2,2 en BLEU (17,89 frente a 8,18) y a 1,6 en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(43,28 frente a 27,19). Esta diferencia muestra que, en el régimen de datos paralelos extremadamente escasos del Inga, un modelo de frontera con acceso a contexto recuperado supera al ajuste fino de un modelo dedicado de menor tamaño. El resultado complementa lo observado por Enis y Hopkins (2024) sobre la </w:t>
      </w:r>
      <w:r w:rsidRPr="3DB4A857">
        <w:rPr>
          <w:rFonts w:ascii="Calibri" w:eastAsia="Calibri" w:hAnsi="Calibri" w:cs="Calibri"/>
          <w:i/>
          <w:iCs/>
          <w:color w:val="000000" w:themeColor="text1"/>
        </w:rPr>
        <w:t>eficiencia de recursos</w:t>
      </w:r>
      <w:r w:rsidRPr="3DB4A857">
        <w:rPr>
          <w:rFonts w:ascii="Calibri" w:eastAsia="Calibri" w:hAnsi="Calibri" w:cs="Calibri"/>
          <w:color w:val="000000" w:themeColor="text1"/>
        </w:rPr>
        <w:t xml:space="preserve"> de Claude en pares de bajos recursos, y se alinea con la evidencia de </w:t>
      </w:r>
      <w:proofErr w:type="spellStart"/>
      <w:r w:rsidRPr="3DB4A857">
        <w:rPr>
          <w:rFonts w:ascii="Calibri" w:eastAsia="Calibri" w:hAnsi="Calibri" w:cs="Calibri"/>
          <w:color w:val="000000" w:themeColor="text1"/>
        </w:rPr>
        <w:t>Cahyawijaya</w:t>
      </w:r>
      <w:proofErr w:type="spellEnd"/>
      <w:r w:rsidRPr="3DB4A857">
        <w:rPr>
          <w:rFonts w:ascii="Calibri" w:eastAsia="Calibri" w:hAnsi="Calibri" w:cs="Calibri"/>
          <w:color w:val="000000" w:themeColor="text1"/>
        </w:rPr>
        <w:t xml:space="preserve">, Lovenia y Fung (2024) sobre la efectividad del </w:t>
      </w:r>
      <w:r w:rsidRPr="3DB4A857">
        <w:rPr>
          <w:rFonts w:ascii="Calibri" w:eastAsia="Calibri" w:hAnsi="Calibri" w:cs="Calibri"/>
          <w:i/>
          <w:iCs/>
          <w:color w:val="000000" w:themeColor="text1"/>
        </w:rPr>
        <w:t>in-</w:t>
      </w:r>
      <w:proofErr w:type="spellStart"/>
      <w:r w:rsidRPr="3DB4A857">
        <w:rPr>
          <w:rFonts w:ascii="Calibri" w:eastAsia="Calibri" w:hAnsi="Calibri" w:cs="Calibri"/>
          <w:i/>
          <w:iCs/>
          <w:color w:val="000000" w:themeColor="text1"/>
        </w:rPr>
        <w:t>context</w:t>
      </w:r>
      <w:proofErr w:type="spellEnd"/>
      <w:r w:rsidRPr="3DB4A857">
        <w:rPr>
          <w:rFonts w:ascii="Calibri" w:eastAsia="Calibri" w:hAnsi="Calibri" w:cs="Calibri"/>
          <w:i/>
          <w:iCs/>
          <w:color w:val="000000" w:themeColor="text1"/>
        </w:rPr>
        <w:t xml:space="preserve"> </w:t>
      </w:r>
      <w:proofErr w:type="spellStart"/>
      <w:r w:rsidRPr="3DB4A857">
        <w:rPr>
          <w:rFonts w:ascii="Calibri" w:eastAsia="Calibri" w:hAnsi="Calibri" w:cs="Calibri"/>
          <w:i/>
          <w:iCs/>
          <w:color w:val="000000" w:themeColor="text1"/>
        </w:rPr>
        <w:t>learning</w:t>
      </w:r>
      <w:proofErr w:type="spellEnd"/>
      <w:r w:rsidRPr="3DB4A857">
        <w:rPr>
          <w:rFonts w:ascii="Calibri" w:eastAsia="Calibri" w:hAnsi="Calibri" w:cs="Calibri"/>
          <w:color w:val="000000" w:themeColor="text1"/>
        </w:rPr>
        <w:t xml:space="preserve"> con ejemplos cuidadosamente seleccionados.</w:t>
      </w:r>
    </w:p>
    <w:p w14:paraId="7BDFC38E"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segunda observación es sobre la contribución específica de la recuperación aumentada al rendimiento del modelo de frontera. La configuración C (Claude Opus 4.7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obtiene únicamente 4,37 BLEU en Inga-español y 0,32 BLEU en español-Inga, cifras que confirman que el modelo de frontera, sin información adicional sobre la lengua, no resuelve el problema de traducción para el Inga. La incorporación del RAG multi-índice (configuración D) eleva estas cifras en órdenes de magnitud comparables a los reportados por Wang et al. (2024) y por Chen et al. (2024) para </w:t>
      </w:r>
      <w:proofErr w:type="spellStart"/>
      <w:r w:rsidRPr="3DB4A857">
        <w:rPr>
          <w:rFonts w:ascii="Calibri" w:eastAsia="Calibri" w:hAnsi="Calibri" w:cs="Calibri"/>
          <w:color w:val="000000" w:themeColor="text1"/>
        </w:rPr>
        <w:t>QueEn</w:t>
      </w:r>
      <w:proofErr w:type="spellEnd"/>
      <w:r w:rsidRPr="3DB4A857">
        <w:rPr>
          <w:rFonts w:ascii="Calibri" w:eastAsia="Calibri" w:hAnsi="Calibri" w:cs="Calibri"/>
          <w:color w:val="000000" w:themeColor="text1"/>
        </w:rPr>
        <w:t>. La estructuración del conocimiento en tres índices independientes (léxico, gramatical y de ejemplos paralelos) constituye, en este sentido, una arquitectura efectiva para el problema, aunque la evidencia disponible no permite cuantificar la contribución marginal de cada índice por separado.</w:t>
      </w:r>
    </w:p>
    <w:p w14:paraId="525E21EF"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tercera observación concierne a la asimetría entre direcciones de traducción. Las configuraciones A, B y C registran caídas sustanciales al pasar de Inga-español a español-Inga: la dirección de generación hacia la lengua de bajos recursos es estructuralmente más difícil porque el decodificador no dispone de datos suficientes para aprender la distribución de </w:t>
      </w:r>
      <w:r w:rsidRPr="3DB4A857">
        <w:rPr>
          <w:rFonts w:ascii="Calibri" w:eastAsia="Calibri" w:hAnsi="Calibri" w:cs="Calibri"/>
          <w:color w:val="000000" w:themeColor="text1"/>
        </w:rPr>
        <w:lastRenderedPageBreak/>
        <w:t xml:space="preserve">salida. El adaptador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entra en modo de repetición patológica en español-Inga; el modelo de frontera sin RAG produce salidas mayoritariamente irrelevantes. La configuración D atenúa esta asimetría: la diferencia entre direcciones se reduce de 8 puntos BLEU (configuración B) a aproximadamente 7 puntos (configuración D), y proporcionalmente la dirección difícil pasa de representar el 22 % del rendimiento de la dirección fácil al 61 %. El RAG, al inyectar ejemplos paralelos del corpus, suministra al modelo de frontera plantillas concretas de generación en la lengua de bajos recursos que mitigan el déficit de datos en el preentrenamiento.</w:t>
      </w:r>
    </w:p>
    <w:p w14:paraId="0048B7B4"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cuarta observación se refiere a la configuración E (refinamiento de la salida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por Claude con RAG), que no supera a la configuración D directa. El resultado contraintuitivo sugiere que la </w:t>
      </w:r>
      <w:r w:rsidRPr="3DB4A857">
        <w:rPr>
          <w:rFonts w:ascii="Calibri" w:eastAsia="Calibri" w:hAnsi="Calibri" w:cs="Calibri"/>
          <w:i/>
          <w:iCs/>
          <w:color w:val="000000" w:themeColor="text1"/>
        </w:rPr>
        <w:t>semilla</w:t>
      </w:r>
      <w:r w:rsidRPr="3DB4A857">
        <w:rPr>
          <w:rFonts w:ascii="Calibri" w:eastAsia="Calibri" w:hAnsi="Calibri" w:cs="Calibri"/>
          <w:color w:val="000000" w:themeColor="text1"/>
        </w:rPr>
        <w:t xml:space="preserve"> producida por el adaptador, cuya calidad léxica es modesta, sesga al modelo de frontera hacia traducciones menos fieles que las que produciría sin esa influencia. La inspección manual de varios ejemplos confirma que Claude conserva errores léxicos del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y ajusta únicamente el plano sintáctico, lo que penaliza las métricas basadas en </w:t>
      </w:r>
      <w:r w:rsidRPr="3DB4A857">
        <w:rPr>
          <w:rFonts w:ascii="Calibri" w:eastAsia="Calibri" w:hAnsi="Calibri" w:cs="Calibri"/>
          <w:i/>
          <w:iCs/>
          <w:color w:val="000000" w:themeColor="text1"/>
        </w:rPr>
        <w:t>n-grama</w:t>
      </w:r>
      <w:r w:rsidRPr="3DB4A857">
        <w:rPr>
          <w:rFonts w:ascii="Calibri" w:eastAsia="Calibri" w:hAnsi="Calibri" w:cs="Calibri"/>
          <w:color w:val="000000" w:themeColor="text1"/>
        </w:rPr>
        <w:t>.</w:t>
      </w:r>
    </w:p>
    <w:p w14:paraId="00BC1AC2"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comparación intra-Claude reportada en la Tabla 9 refuerza esta lectura. En la configuración D, donde el modelo recibe contexto </w:t>
      </w:r>
      <w:proofErr w:type="gramStart"/>
      <w:r w:rsidRPr="3DB4A857">
        <w:rPr>
          <w:rFonts w:ascii="Calibri" w:eastAsia="Calibri" w:hAnsi="Calibri" w:cs="Calibri"/>
          <w:color w:val="000000" w:themeColor="text1"/>
        </w:rPr>
        <w:t>recuperado</w:t>
      </w:r>
      <w:proofErr w:type="gramEnd"/>
      <w:r w:rsidRPr="3DB4A857">
        <w:rPr>
          <w:rFonts w:ascii="Calibri" w:eastAsia="Calibri" w:hAnsi="Calibri" w:cs="Calibri"/>
          <w:color w:val="000000" w:themeColor="text1"/>
        </w:rPr>
        <w:t xml:space="preserve"> pero no un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Opus 4.7 aventaja a Sonnet 4.6 en aproximadamente 6 puntos BLEU en la dirección Inga-español y 3 puntos en la inversa: la mayor capacidad del modelo se traduce directamente en mejor uso del contexto. En la configuración E, donde 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introduce errores léxicos, la ventaja se invierte: Sonnet 4.6 produce un BLEU ligeramente superior (12,01 frente a 10,88 en Inga-español). El patrón sugiere que el modelo más capaz reescribe con mayor agresividad 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defectuoso, alejándose más de la referencia que el modelo menos avanzado, que tiende a preservar 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y a ajustar de forma más conservadora. La implicación práctica es que la estrategia de refinamiento jerárquico no se beneficia automáticamente del escalado del modelo de refinamiento; requiere un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 calidad superior a la disponible con un adaptador entrenado sobre 4.512 pares paralelos.</w:t>
      </w:r>
    </w:p>
    <w:p w14:paraId="696A5ACF"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La comparación con la literatura cercana sostiene los resultados sin forzarlos. El BLEU de 17,89 que alcanza la configuración D en Inga-español queda por encima del rango que García Gilabert et al. (2024) reportan para el quechua en la tarea compartida de AmericasNLP, y se </w:t>
      </w:r>
      <w:r>
        <w:rPr>
          <w:rFonts w:ascii="Calibri" w:eastAsia="Calibri" w:hAnsi="Calibri" w:cs="Calibri"/>
          <w:color w:val="000000" w:themeColor="text1"/>
        </w:rPr>
        <w:lastRenderedPageBreak/>
        <w:t>ubica en la franja alta de lo que describe Chen et al. (2024) para el sistema QueEn de quechua-inglés. No es una comparación estricta, porque los conjuntos de prueba difieren, pero sitúa el trabajo en un orden de magnitud razonable para una lengua de esta escala de recursos. La revisión de Salazar, Manrique y Pereira Nunes (2025) sobre lenguas indígenas colombianas refuerza la idea de que las aproximaciones basadas en modelos de frontera con contexto externo están desplazando a las puramente neuronales en este régimen de datos.</w:t>
      </w:r>
    </w:p>
    <w:p w14:paraId="302AB1EF"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Merece discusión el papel del ajuste fino, que el experimento no descarta pero sí redimensiona. La configuración B (NLLB con LoRA) mejora de forma clara sobre el zero-shot en la dirección Inga-español, lo que confirma que el adaptador aprende algo útil del corpus. El problema es la otra dirección: con poco más de cuatro mil pares, el decodificador no aprende a generar Inga, y por eso la configuración B se hunde en español-Inga. La lectura combinada de las configuraciones B, D y E sugiere que el ajuste fino y la recuperación no compiten: cada uno ataca un cuello de botella distinto, y la vía más prometedora a futuro podría ser combinarlos mejor de lo que lo hace la configuración E.</w:t>
      </w:r>
    </w:p>
    <w:p w14:paraId="4B5B37F4"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Tres limitaciones del estudio deben señalarse para encuadrar las conclusiones anteriores. La primera es la ausencia del dialecto Medio Putumayo en el corpus de entrenamiento. La cartilla </w:t>
      </w:r>
      <w:proofErr w:type="spellStart"/>
      <w:r w:rsidRPr="3DB4A857">
        <w:rPr>
          <w:rFonts w:ascii="Calibri" w:eastAsia="Calibri" w:hAnsi="Calibri" w:cs="Calibri"/>
          <w:i/>
          <w:iCs/>
          <w:color w:val="000000" w:themeColor="text1"/>
        </w:rPr>
        <w:t>Antihua</w:t>
      </w:r>
      <w:proofErr w:type="spellEnd"/>
      <w:r w:rsidRPr="3DB4A857">
        <w:rPr>
          <w:rFonts w:ascii="Calibri" w:eastAsia="Calibri" w:hAnsi="Calibri" w:cs="Calibri"/>
          <w:i/>
          <w:iCs/>
          <w:color w:val="000000" w:themeColor="text1"/>
        </w:rPr>
        <w:t xml:space="preserve"> Pacay </w:t>
      </w:r>
      <w:proofErr w:type="spellStart"/>
      <w:r w:rsidRPr="3DB4A857">
        <w:rPr>
          <w:rFonts w:ascii="Calibri" w:eastAsia="Calibri" w:hAnsi="Calibri" w:cs="Calibri"/>
          <w:i/>
          <w:iCs/>
          <w:color w:val="000000" w:themeColor="text1"/>
        </w:rPr>
        <w:t>Gentecunapa</w:t>
      </w:r>
      <w:proofErr w:type="spellEnd"/>
      <w:r w:rsidRPr="3DB4A857">
        <w:rPr>
          <w:rFonts w:ascii="Calibri" w:eastAsia="Calibri" w:hAnsi="Calibri" w:cs="Calibri"/>
          <w:i/>
          <w:iCs/>
          <w:color w:val="000000" w:themeColor="text1"/>
        </w:rPr>
        <w:t xml:space="preserve"> </w:t>
      </w:r>
      <w:proofErr w:type="spellStart"/>
      <w:r w:rsidRPr="3DB4A857">
        <w:rPr>
          <w:rFonts w:ascii="Calibri" w:eastAsia="Calibri" w:hAnsi="Calibri" w:cs="Calibri"/>
          <w:i/>
          <w:iCs/>
          <w:color w:val="000000" w:themeColor="text1"/>
        </w:rPr>
        <w:t>Parlocuna</w:t>
      </w:r>
      <w:proofErr w:type="spellEnd"/>
      <w:r w:rsidRPr="3DB4A857">
        <w:rPr>
          <w:rFonts w:ascii="Calibri" w:eastAsia="Calibri" w:hAnsi="Calibri" w:cs="Calibri"/>
          <w:color w:val="000000" w:themeColor="text1"/>
        </w:rPr>
        <w:t xml:space="preserve"> es la única fuente disponible para esa variante, y su alineación oracional requiere un alineador semántico basado en </w:t>
      </w:r>
      <w:proofErr w:type="spellStart"/>
      <w:r w:rsidRPr="3DB4A857">
        <w:rPr>
          <w:rFonts w:ascii="Calibri" w:eastAsia="Calibri" w:hAnsi="Calibri" w:cs="Calibri"/>
          <w:i/>
          <w:iCs/>
          <w:color w:val="000000" w:themeColor="text1"/>
        </w:rPr>
        <w:t>sentence</w:t>
      </w:r>
      <w:proofErr w:type="spellEnd"/>
      <w:r w:rsidRPr="3DB4A857">
        <w:rPr>
          <w:rFonts w:ascii="Calibri" w:eastAsia="Calibri" w:hAnsi="Calibri" w:cs="Calibri"/>
          <w:i/>
          <w:iCs/>
          <w:color w:val="000000" w:themeColor="text1"/>
        </w:rPr>
        <w:t xml:space="preserve"> </w:t>
      </w:r>
      <w:proofErr w:type="spellStart"/>
      <w:r w:rsidRPr="3DB4A857">
        <w:rPr>
          <w:rFonts w:ascii="Calibri" w:eastAsia="Calibri" w:hAnsi="Calibri" w:cs="Calibri"/>
          <w:i/>
          <w:iCs/>
          <w:color w:val="000000" w:themeColor="text1"/>
        </w:rPr>
        <w:t>embeddings</w:t>
      </w:r>
      <w:proofErr w:type="spellEnd"/>
      <w:r w:rsidRPr="3DB4A857">
        <w:rPr>
          <w:rFonts w:ascii="Calibri" w:eastAsia="Calibri" w:hAnsi="Calibri" w:cs="Calibri"/>
          <w:color w:val="000000" w:themeColor="text1"/>
        </w:rPr>
        <w:t xml:space="preserve"> multilingües que no forma parte del alcance de este estudio. La segunda es el tamaño acotado del subconjunto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 xml:space="preserve"> utilizado para reportar métricas: 100 ejemplos por dirección frente a los 564 disponibles, decisión motivada por el control de costos en las llamadas a la API y por el tiempo de inferencia local del adaptador NLLB. La tercera es la ausencia de validación humana con hablantes nativos, indispensable para capturar dimensiones de calidad que las métricas automáticas no reflejan, como la naturalidad cultural y la fluidez idiomática en cada dialecto (Ebrahimi et al., 2024; Mager et al., 2023).</w:t>
      </w:r>
    </w:p>
    <w:p w14:paraId="057E6BB1"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146" w:name="_Toc230950287"/>
      <w:bookmarkStart w:id="147" w:name="_Toc233199105"/>
      <w:r w:rsidRPr="3DB4A857">
        <w:rPr>
          <w:rFonts w:ascii="Calibri Light" w:eastAsia="Calibri Light" w:hAnsi="Calibri Light" w:cs="Calibri Light"/>
          <w:bCs w:val="0"/>
          <w:iCs w:val="0"/>
        </w:rPr>
        <w:t>5.3 Líneas de trabajo futuras</w:t>
      </w:r>
      <w:bookmarkEnd w:id="146"/>
      <w:bookmarkEnd w:id="147"/>
    </w:p>
    <w:p w14:paraId="70F8E587"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Las limitaciones identificadas no cierran el trabajo sino que abren una agenda concreta. Se describen a continuación, ordenadas más por viabilidad que por ambición.</w:t>
      </w:r>
    </w:p>
    <w:p w14:paraId="178A65BB"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lastRenderedPageBreak/>
        <w:t>La incorporación del dialecto Medio Putumayo es la tarea más urgente, porque su ausencia sesga el corpus hacia el Alto Putumayo y limita la utilidad real del sistema para una parte de la comunidad. La cartilla Antihua Pacay quedó fuera del entrenamiento por la baja calidad de su alineación oracional, pero un alineador semántico basado en embeddings multilingües, del tipo LaBSE, permitiría recuperar buena parte de ese material sin depender de la coincidencia canónica versículo a versículo que se usó con el Nuevo Testamento. Es una línea de costo moderado y alto impacto.</w:t>
      </w:r>
    </w:p>
    <w:p w14:paraId="336D69D0"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En el plano del modelo, un estudio sistemático de ablations sobre el adaptador LoRA permitiría entender qué parte de la mejora viene de la capacidad del adaptador y qué parte del corpus duplicado para entrenamiento bidireccional. Variar el rango del adaptador, el factor de escala y las capas intervenidas, manteniendo fijo el resto del pipeline, daría una imagen más precisa del techo del ajuste fino para este par. La literatura sobre variantes más recientes de ajuste eficiente, como QLoRA (Dettmers et al., 2023) y DoRA (Liu et al., 2024), ofrece puntos de partida concretos.</w:t>
      </w:r>
    </w:p>
    <w:p w14:paraId="078110DB"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El escalado del modelo base, de NLLB-200-distilled-600M a la versión de 3.300 millones de parámetros, es viable en la estación de cómputo local pero con tiempos de entrenamiento e inferencia bastante mayores. La pregunta abierta es si ese salto de capacidad cierra por sí solo la brecha en la dirección español-Inga o si, como sugiere el experimento actual, el verdadero cuello de botella sigue siendo la cantidad de datos y no el tamaño del modelo.</w:t>
      </w:r>
    </w:p>
    <w:p w14:paraId="7D704F30"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La validación con hablantes nativos es la pieza que falta para cerrar el círculo. Un protocolo realista usaría una rúbrica de tres dimensiones (adecuación, fluidez y elección dialectal correcta) sobre una muestra estratificada por dialecto y por dominio, y serviría a la vez para auditar las métricas automáticas y para detectar errores que estas no capturan, como la lengua incorrecta documentada en la subsección 4.6.1. Este trabajo conecta de forma directa con las consideraciones éticas que plantea Mager et al. (2023) sobre dar voz a los hablantes en la traducción de lenguas indígenas.</w:t>
      </w:r>
    </w:p>
    <w:p w14:paraId="589AD607"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Por último, el empaquetado del sistema como aplicación local reproducible trasladaría el resultado de la investigación a una herramienta utilizable por la comunidad. Una interfaz de línea de comandos que reciba un texto y una dirección de traducción, apoyada en el retriever </w:t>
      </w:r>
      <w:r>
        <w:rPr>
          <w:rFonts w:ascii="Calibri" w:eastAsia="Calibri" w:hAnsi="Calibri" w:cs="Calibri"/>
          <w:color w:val="000000" w:themeColor="text1"/>
        </w:rPr>
        <w:lastRenderedPageBreak/>
        <w:t>y en los prompts ya construidos, es un objetivo de ingeniería más que de investigación, pero es el que convierte el TFM en algo que sobrevive a la entrega.</w:t>
      </w:r>
    </w:p>
    <w:p w14:paraId="099F4D49" w14:textId="77777777" w:rsidR="00636E09" w:rsidRDefault="049C66FE">
      <w:pPr>
        <w:pStyle w:val="Ttulo1sinnumerar"/>
        <w:pageBreakBefore/>
      </w:pPr>
      <w:bookmarkStart w:id="148" w:name="_Toc230950288"/>
      <w:bookmarkStart w:id="149" w:name="_Toc233199106"/>
      <w:r>
        <w:lastRenderedPageBreak/>
        <w:t>Referencias bibliográficas</w:t>
      </w:r>
      <w:bookmarkEnd w:id="148"/>
      <w:bookmarkEnd w:id="149"/>
    </w:p>
    <w:p w14:paraId="3F64ACE1" w14:textId="77777777" w:rsidR="00636E09" w:rsidRPr="00A616E4" w:rsidRDefault="00226D26">
      <w:pPr>
        <w:pStyle w:val="Referenciasbibliogrficas"/>
        <w:rPr>
          <w:lang w:val="es-CO"/>
        </w:rPr>
      </w:pPr>
      <w:r w:rsidRPr="00A616E4">
        <w:rPr>
          <w:lang w:val="es-CO"/>
        </w:rPr>
        <w:t xml:space="preserve">Asamblea Nacional Constituyente de Colombia. (1991). </w:t>
      </w:r>
      <w:r w:rsidRPr="00A616E4">
        <w:rPr>
          <w:i/>
          <w:lang w:val="es-CO"/>
        </w:rPr>
        <w:t>Constitución Política de Colombia</w:t>
      </w:r>
      <w:r w:rsidRPr="00A616E4">
        <w:rPr>
          <w:lang w:val="es-CO"/>
        </w:rPr>
        <w:t>, Artículo 10. http://www.secretariasenado.gov.co/senado/basedoc/constitucion_politica_1991.html</w:t>
      </w:r>
    </w:p>
    <w:p w14:paraId="144918E5" w14:textId="77777777" w:rsidR="00636E09" w:rsidRDefault="00226D26">
      <w:pPr>
        <w:pStyle w:val="Referenciasbibliogrficas"/>
      </w:pPr>
      <w:r>
        <w:t xml:space="preserve">Attieh, J., Hopton, Z., Scherrer, Y., y Samardžić, T. (2024). System description of the </w:t>
      </w:r>
      <w:proofErr w:type="spellStart"/>
      <w:r>
        <w:t>NordicsAlps</w:t>
      </w:r>
      <w:proofErr w:type="spellEnd"/>
      <w:r>
        <w:t xml:space="preserve"> submission to the </w:t>
      </w:r>
      <w:proofErr w:type="spellStart"/>
      <w:r>
        <w:t>AmericasNLP</w:t>
      </w:r>
      <w:proofErr w:type="spellEnd"/>
      <w:r>
        <w:t xml:space="preserve"> 2024 machine translation shared task. En </w:t>
      </w:r>
      <w:r>
        <w:rPr>
          <w:i/>
        </w:rPr>
        <w:t>Proceedings of the 4th Workshop on NLP for Indigenous Languages of the Americas (</w:t>
      </w:r>
      <w:proofErr w:type="spellStart"/>
      <w:r>
        <w:rPr>
          <w:i/>
        </w:rPr>
        <w:t>AmericasNLP</w:t>
      </w:r>
      <w:proofErr w:type="spellEnd"/>
      <w:r>
        <w:rPr>
          <w:i/>
        </w:rPr>
        <w:t xml:space="preserve"> 2024)</w:t>
      </w:r>
      <w:r>
        <w:t xml:space="preserve"> (pp. 150-158). Association for Computational Linguistics. https://aclanthology.org/2024.americasnlp-1.18/</w:t>
      </w:r>
    </w:p>
    <w:p w14:paraId="534CC4E9" w14:textId="77777777" w:rsidR="00636E09" w:rsidRDefault="00226D26">
      <w:pPr>
        <w:pStyle w:val="Referenciasbibliogrficas"/>
      </w:pPr>
      <w:proofErr w:type="spellStart"/>
      <w:r>
        <w:t>Cahyawijaya</w:t>
      </w:r>
      <w:proofErr w:type="spellEnd"/>
      <w:r>
        <w:t xml:space="preserve">, S., Lovenia, H., y Fung, P. (2024). LLMs are few-shot in-context low-resource language learners. En </w:t>
      </w:r>
      <w:r>
        <w:rPr>
          <w:i/>
        </w:rPr>
        <w:t>Proceedings of the 2024 Conference of the North American Chapter of the Association for Computational Linguistics (NAACL 2024)</w:t>
      </w:r>
      <w:r>
        <w:t>. https://arxiv.org/abs/2403.16512</w:t>
      </w:r>
    </w:p>
    <w:p w14:paraId="432AEF91" w14:textId="77777777" w:rsidR="00636E09" w:rsidRDefault="00226D26">
      <w:pPr>
        <w:pStyle w:val="Referenciasbibliogrficas"/>
      </w:pPr>
      <w:r>
        <w:t xml:space="preserve">Chen, J., Shu, P., Li, Y., Zhao, H., Jiang, H., Pan, Y., Zhou, Y., Liu, Z., Howe, L. C., y Liu, T. (2024). </w:t>
      </w:r>
      <w:proofErr w:type="spellStart"/>
      <w:r>
        <w:rPr>
          <w:i/>
        </w:rPr>
        <w:t>QueEn</w:t>
      </w:r>
      <w:proofErr w:type="spellEnd"/>
      <w:r>
        <w:rPr>
          <w:i/>
        </w:rPr>
        <w:t>: A large language model for Quechua-English translation</w:t>
      </w:r>
      <w:r>
        <w:t xml:space="preserve"> [</w:t>
      </w:r>
      <w:proofErr w:type="spellStart"/>
      <w:r>
        <w:t>arXiv</w:t>
      </w:r>
      <w:proofErr w:type="spellEnd"/>
      <w:r>
        <w:t xml:space="preserve"> preprint]. https://arxiv.org/abs/2412.05184</w:t>
      </w:r>
    </w:p>
    <w:p w14:paraId="61356E1B" w14:textId="77777777" w:rsidR="00636E09" w:rsidRPr="00A616E4" w:rsidRDefault="00226D26">
      <w:pPr>
        <w:pStyle w:val="Referenciasbibliogrficas"/>
        <w:rPr>
          <w:lang w:val="es-CO"/>
        </w:rPr>
      </w:pPr>
      <w:r w:rsidRPr="00A616E4">
        <w:rPr>
          <w:lang w:val="es-CO"/>
        </w:rPr>
        <w:t xml:space="preserve">Congreso de la República de Colombia. (2010). </w:t>
      </w:r>
      <w:r w:rsidRPr="00A616E4">
        <w:rPr>
          <w:i/>
          <w:lang w:val="es-CO"/>
        </w:rPr>
        <w:t>Ley 1381 de 2010, por la cual se desarrollan los artículos 7°, 8°, 10 y 70 de la Constitución Política y se dictan normas sobre reconocimiento, fomento, protección, uso, preservación y fortalecimiento de las lenguas de los grupos étnicos de Colombia y sobre sus derechos lingüísticos y los de sus hablantes</w:t>
      </w:r>
      <w:r w:rsidRPr="00A616E4">
        <w:rPr>
          <w:lang w:val="es-CO"/>
        </w:rPr>
        <w:t>. Diario Oficial No. 47.603. https://www.funcionpublica.gov.co/eva/gestornormativo/norma.php?i=38741</w:t>
      </w:r>
    </w:p>
    <w:p w14:paraId="59CDF93E" w14:textId="77777777" w:rsidR="00636E09" w:rsidRDefault="00226D26">
      <w:pPr>
        <w:pStyle w:val="Referenciasbibliogrficas"/>
      </w:pPr>
      <w:r w:rsidRPr="00A616E4">
        <w:rPr>
          <w:lang w:val="es-CO"/>
        </w:rPr>
        <w:t xml:space="preserve">de Gibert, O., Pugh, R., </w:t>
      </w:r>
      <w:proofErr w:type="spellStart"/>
      <w:r w:rsidRPr="00A616E4">
        <w:rPr>
          <w:lang w:val="es-CO"/>
        </w:rPr>
        <w:t>Marashian</w:t>
      </w:r>
      <w:proofErr w:type="spellEnd"/>
      <w:r w:rsidRPr="00A616E4">
        <w:rPr>
          <w:lang w:val="es-CO"/>
        </w:rPr>
        <w:t xml:space="preserve">, A., </w:t>
      </w:r>
      <w:proofErr w:type="spellStart"/>
      <w:r w:rsidRPr="00A616E4">
        <w:rPr>
          <w:lang w:val="es-CO"/>
        </w:rPr>
        <w:t>Vazquez</w:t>
      </w:r>
      <w:proofErr w:type="spellEnd"/>
      <w:r w:rsidRPr="00A616E4">
        <w:rPr>
          <w:lang w:val="es-CO"/>
        </w:rPr>
        <w:t xml:space="preserve">, R., Ebrahimi, A., Denisov, P., Rice, E., Gow-Smith, E., Prieto, J., Robles, M., Manrique, R., Moreno, O., Lino, A., Coto-Solano, R., </w:t>
      </w:r>
      <w:proofErr w:type="spellStart"/>
      <w:r w:rsidRPr="00A616E4">
        <w:rPr>
          <w:lang w:val="es-CO"/>
        </w:rPr>
        <w:t>Alvarez</w:t>
      </w:r>
      <w:proofErr w:type="spellEnd"/>
      <w:r w:rsidRPr="00A616E4">
        <w:rPr>
          <w:lang w:val="es-CO"/>
        </w:rPr>
        <w:t xml:space="preserve">, A., Agüero-Torales, M., Ortega, J. E., </w:t>
      </w:r>
      <w:proofErr w:type="spellStart"/>
      <w:r w:rsidRPr="00A616E4">
        <w:rPr>
          <w:lang w:val="es-CO"/>
        </w:rPr>
        <w:t>Chiruzzo</w:t>
      </w:r>
      <w:proofErr w:type="spellEnd"/>
      <w:r w:rsidRPr="00A616E4">
        <w:rPr>
          <w:lang w:val="es-CO"/>
        </w:rPr>
        <w:t xml:space="preserve">, L., </w:t>
      </w:r>
      <w:proofErr w:type="spellStart"/>
      <w:r w:rsidRPr="00A616E4">
        <w:rPr>
          <w:lang w:val="es-CO"/>
        </w:rPr>
        <w:t>Oncevay</w:t>
      </w:r>
      <w:proofErr w:type="spellEnd"/>
      <w:r w:rsidRPr="00A616E4">
        <w:rPr>
          <w:lang w:val="es-CO"/>
        </w:rPr>
        <w:t xml:space="preserve">, A., </w:t>
      </w:r>
      <w:proofErr w:type="spellStart"/>
      <w:r w:rsidRPr="00A616E4">
        <w:rPr>
          <w:lang w:val="es-CO"/>
        </w:rPr>
        <w:t>Rijhwani</w:t>
      </w:r>
      <w:proofErr w:type="spellEnd"/>
      <w:r w:rsidRPr="00A616E4">
        <w:rPr>
          <w:lang w:val="es-CO"/>
        </w:rPr>
        <w:t xml:space="preserve">, S., </w:t>
      </w:r>
      <w:proofErr w:type="spellStart"/>
      <w:r w:rsidRPr="00A616E4">
        <w:rPr>
          <w:lang w:val="es-CO"/>
        </w:rPr>
        <w:t>von</w:t>
      </w:r>
      <w:proofErr w:type="spellEnd"/>
      <w:r w:rsidRPr="00A616E4">
        <w:rPr>
          <w:lang w:val="es-CO"/>
        </w:rPr>
        <w:t xml:space="preserve"> </w:t>
      </w:r>
      <w:proofErr w:type="spellStart"/>
      <w:r w:rsidRPr="00A616E4">
        <w:rPr>
          <w:lang w:val="es-CO"/>
        </w:rPr>
        <w:t>der</w:t>
      </w:r>
      <w:proofErr w:type="spellEnd"/>
      <w:r w:rsidRPr="00A616E4">
        <w:rPr>
          <w:lang w:val="es-CO"/>
        </w:rPr>
        <w:t xml:space="preserve"> Wense, K., y Mager, M. (2025). </w:t>
      </w:r>
      <w:r>
        <w:t xml:space="preserve">Findings of the </w:t>
      </w:r>
      <w:proofErr w:type="spellStart"/>
      <w:r>
        <w:t>AmericasNLP</w:t>
      </w:r>
      <w:proofErr w:type="spellEnd"/>
      <w:r>
        <w:t xml:space="preserve"> 2025 shared tasks on machine translation, creation of educational material, and translation metrics for indigenous </w:t>
      </w:r>
      <w:r>
        <w:lastRenderedPageBreak/>
        <w:t xml:space="preserve">languages of the Americas. En </w:t>
      </w:r>
      <w:r>
        <w:rPr>
          <w:i/>
        </w:rPr>
        <w:t>Proceedings of the Fifth Workshop on NLP for Indigenous Languages of the Americas (</w:t>
      </w:r>
      <w:proofErr w:type="spellStart"/>
      <w:r>
        <w:rPr>
          <w:i/>
        </w:rPr>
        <w:t>AmericasNLP</w:t>
      </w:r>
      <w:proofErr w:type="spellEnd"/>
      <w:r>
        <w:rPr>
          <w:i/>
        </w:rPr>
        <w:t>)</w:t>
      </w:r>
      <w:r>
        <w:t xml:space="preserve"> (pp. 134-152). https://aclanthology.org/2025.americasnlp-1.16/</w:t>
      </w:r>
    </w:p>
    <w:p w14:paraId="4DDFADE4" w14:textId="77777777" w:rsidR="00636E09" w:rsidRDefault="00226D26">
      <w:pPr>
        <w:pStyle w:val="Referenciasbibliogrficas"/>
      </w:pPr>
      <w:r w:rsidRPr="00A616E4">
        <w:rPr>
          <w:lang w:val="es-CO"/>
        </w:rPr>
        <w:t xml:space="preserve">DeGenaro, D., y Lupicki, T. (2024). </w:t>
      </w:r>
      <w:r>
        <w:t xml:space="preserve">Experiments in Mamba sequence modeling and NLLB-200 fine-tuning for low resource multilingual machine translation. En </w:t>
      </w:r>
      <w:r>
        <w:rPr>
          <w:i/>
        </w:rPr>
        <w:t>Proceedings of the 4th Workshop on NLP for Indigenous Languages of the Americas (</w:t>
      </w:r>
      <w:proofErr w:type="spellStart"/>
      <w:r>
        <w:rPr>
          <w:i/>
        </w:rPr>
        <w:t>AmericasNLP</w:t>
      </w:r>
      <w:proofErr w:type="spellEnd"/>
      <w:r>
        <w:rPr>
          <w:i/>
        </w:rPr>
        <w:t xml:space="preserve"> 2024)</w:t>
      </w:r>
      <w:r>
        <w:t xml:space="preserve"> (pp. 188-194). https://aclanthology.org/2024.americasnlp-1.22/</w:t>
      </w:r>
    </w:p>
    <w:p w14:paraId="191EF306" w14:textId="77777777" w:rsidR="00636E09" w:rsidRDefault="00226D26">
      <w:pPr>
        <w:pStyle w:val="Referenciasbibliogrficas"/>
      </w:pPr>
      <w:r>
        <w:t xml:space="preserve">Dettmers, T., Pagnoni, A., Holtzman, A., y Zettlemoyer, L. (2023). </w:t>
      </w:r>
      <w:proofErr w:type="spellStart"/>
      <w:r>
        <w:t>QLoRA</w:t>
      </w:r>
      <w:proofErr w:type="spellEnd"/>
      <w:r>
        <w:t xml:space="preserve">: Efficient finetuning of quantized LLMs. En </w:t>
      </w:r>
      <w:r>
        <w:rPr>
          <w:i/>
        </w:rPr>
        <w:t>Advances in Neural Information Processing Systems 36 (</w:t>
      </w:r>
      <w:proofErr w:type="spellStart"/>
      <w:r>
        <w:rPr>
          <w:i/>
        </w:rPr>
        <w:t>NeurIPS</w:t>
      </w:r>
      <w:proofErr w:type="spellEnd"/>
      <w:r>
        <w:rPr>
          <w:i/>
        </w:rPr>
        <w:t xml:space="preserve"> 2023)</w:t>
      </w:r>
      <w:r>
        <w:t>. https://arxiv.org/abs/2305.14314</w:t>
      </w:r>
    </w:p>
    <w:p w14:paraId="535DF5EF" w14:textId="77777777" w:rsidR="00636E09" w:rsidRDefault="00226D26">
      <w:pPr>
        <w:pStyle w:val="Referenciasbibliogrficas"/>
      </w:pPr>
      <w:r>
        <w:t xml:space="preserve">Dhawan, A., Driggers-Ellis, C., Grant, C., y Wang, D. Z. (2026). </w:t>
      </w:r>
      <w:r>
        <w:rPr>
          <w:i/>
        </w:rPr>
        <w:t>Improving indigenous language machine translation with synthetic data and language-specific preprocessing</w:t>
      </w:r>
      <w:r>
        <w:t xml:space="preserve"> [</w:t>
      </w:r>
      <w:proofErr w:type="spellStart"/>
      <w:r>
        <w:t>arXiv</w:t>
      </w:r>
      <w:proofErr w:type="spellEnd"/>
      <w:r>
        <w:t xml:space="preserve"> preprint]. https://arxiv.org/abs/2601.03135</w:t>
      </w:r>
    </w:p>
    <w:p w14:paraId="56B0B9F9" w14:textId="77777777" w:rsidR="00636E09" w:rsidRDefault="00226D26">
      <w:pPr>
        <w:pStyle w:val="Referenciasbibliogrficas"/>
      </w:pPr>
      <w:r>
        <w:t xml:space="preserve">Doran, G. T. (1981). There's a S.M.A.R.T. way to write management's goals and objectives. </w:t>
      </w:r>
      <w:r>
        <w:rPr>
          <w:i/>
        </w:rPr>
        <w:t>Management Review (AMA FORUM), 70</w:t>
      </w:r>
      <w:r>
        <w:t>(11), 35-36.</w:t>
      </w:r>
    </w:p>
    <w:p w14:paraId="54DB71BA" w14:textId="77777777" w:rsidR="00636E09" w:rsidRDefault="00226D26">
      <w:pPr>
        <w:pStyle w:val="Referenciasbibliogrficas"/>
      </w:pPr>
      <w:r>
        <w:t xml:space="preserve">Ebrahimi, A., de Gibert, O., Vazquez, R., Coto-Solano, R., Denisov, P., Pugh, R., Mager, M., </w:t>
      </w:r>
      <w:proofErr w:type="spellStart"/>
      <w:r>
        <w:t>Oncevay</w:t>
      </w:r>
      <w:proofErr w:type="spellEnd"/>
      <w:r>
        <w:t xml:space="preserve">, A., </w:t>
      </w:r>
      <w:proofErr w:type="spellStart"/>
      <w:r>
        <w:t>Chiruzzo</w:t>
      </w:r>
      <w:proofErr w:type="spellEnd"/>
      <w:r>
        <w:t xml:space="preserve">, L., von der Wense, K., y </w:t>
      </w:r>
      <w:proofErr w:type="spellStart"/>
      <w:r>
        <w:t>Rijhwani</w:t>
      </w:r>
      <w:proofErr w:type="spellEnd"/>
      <w:r>
        <w:t xml:space="preserve">, S. (2024). Findings of the </w:t>
      </w:r>
      <w:proofErr w:type="spellStart"/>
      <w:r>
        <w:t>AmericasNLP</w:t>
      </w:r>
      <w:proofErr w:type="spellEnd"/>
      <w:r>
        <w:t xml:space="preserve"> 2024 shared task on machine translation. En </w:t>
      </w:r>
      <w:r>
        <w:rPr>
          <w:i/>
        </w:rPr>
        <w:t>Proceedings of the 4th Workshop on NLP for Indigenous Languages of the Americas (</w:t>
      </w:r>
      <w:proofErr w:type="spellStart"/>
      <w:r>
        <w:rPr>
          <w:i/>
        </w:rPr>
        <w:t>AmericasNLP</w:t>
      </w:r>
      <w:proofErr w:type="spellEnd"/>
      <w:r>
        <w:rPr>
          <w:i/>
        </w:rPr>
        <w:t xml:space="preserve"> 2024)</w:t>
      </w:r>
      <w:r>
        <w:t xml:space="preserve"> (pp. 236-246). https://aclanthology.org/2024.americasnlp-1.28/</w:t>
      </w:r>
    </w:p>
    <w:p w14:paraId="01A6D879" w14:textId="77777777" w:rsidR="00636E09" w:rsidRDefault="00226D26">
      <w:pPr>
        <w:pStyle w:val="Referenciasbibliogrficas"/>
      </w:pPr>
      <w:r>
        <w:t xml:space="preserve">Enis, M., y Hopkins, M. (2024). </w:t>
      </w:r>
      <w:r>
        <w:rPr>
          <w:i/>
        </w:rPr>
        <w:t>From LLM to NMT: Advancing low-resource machine translation with Claude</w:t>
      </w:r>
      <w:r>
        <w:t xml:space="preserve"> [</w:t>
      </w:r>
      <w:proofErr w:type="spellStart"/>
      <w:r>
        <w:t>arXiv</w:t>
      </w:r>
      <w:proofErr w:type="spellEnd"/>
      <w:r>
        <w:t xml:space="preserve"> preprint]. https://arxiv.org/abs/2404.13813</w:t>
      </w:r>
    </w:p>
    <w:p w14:paraId="78CB3CA5" w14:textId="77777777" w:rsidR="00636E09" w:rsidRDefault="00226D26">
      <w:pPr>
        <w:pStyle w:val="Referenciasbibliogrficas"/>
      </w:pPr>
      <w:r>
        <w:t xml:space="preserve">Finkelstein, M., Caswell, I., </w:t>
      </w:r>
      <w:proofErr w:type="spellStart"/>
      <w:r>
        <w:t>Domhan</w:t>
      </w:r>
      <w:proofErr w:type="spellEnd"/>
      <w:r>
        <w:t xml:space="preserve">, T., Peter, J.-T., </w:t>
      </w:r>
      <w:proofErr w:type="spellStart"/>
      <w:r>
        <w:t>Juraska</w:t>
      </w:r>
      <w:proofErr w:type="spellEnd"/>
      <w:r>
        <w:t xml:space="preserve">, J., Riley, P., Deutsch, D., Kovacs, G., </w:t>
      </w:r>
      <w:proofErr w:type="spellStart"/>
      <w:r>
        <w:t>Dilanni</w:t>
      </w:r>
      <w:proofErr w:type="spellEnd"/>
      <w:r>
        <w:t xml:space="preserve">, C., Cherry, C., </w:t>
      </w:r>
      <w:proofErr w:type="spellStart"/>
      <w:r>
        <w:t>Briakou</w:t>
      </w:r>
      <w:proofErr w:type="spellEnd"/>
      <w:r>
        <w:t xml:space="preserve">, E., Nielsen, E., Luo, J., Black, K., Mullins, R., Agrawal, S., Xu, W., Kats, E., Jaskiewicz, S., Freitag, M., y Vilar, D. (2026). </w:t>
      </w:r>
      <w:proofErr w:type="spellStart"/>
      <w:r>
        <w:rPr>
          <w:i/>
        </w:rPr>
        <w:t>TranslateGemma</w:t>
      </w:r>
      <w:proofErr w:type="spellEnd"/>
      <w:r>
        <w:rPr>
          <w:i/>
        </w:rPr>
        <w:t>: Technical report</w:t>
      </w:r>
      <w:r>
        <w:t xml:space="preserve"> [</w:t>
      </w:r>
      <w:proofErr w:type="spellStart"/>
      <w:r>
        <w:t>arXiv</w:t>
      </w:r>
      <w:proofErr w:type="spellEnd"/>
      <w:r>
        <w:t xml:space="preserve"> preprint]. https://arxiv.org/abs/2601.09012</w:t>
      </w:r>
    </w:p>
    <w:p w14:paraId="27E289F8" w14:textId="77777777" w:rsidR="00636E09" w:rsidRDefault="00226D26">
      <w:pPr>
        <w:pStyle w:val="Referenciasbibliogrficas"/>
      </w:pPr>
      <w:r>
        <w:lastRenderedPageBreak/>
        <w:t xml:space="preserve">Garcia Gilabert, J., Sant, A., Escolano, C., De Luca Fornaciari, F., Mash, A., y Melero, M. (2024). BSC submission to the </w:t>
      </w:r>
      <w:proofErr w:type="spellStart"/>
      <w:r>
        <w:t>AmericasNLP</w:t>
      </w:r>
      <w:proofErr w:type="spellEnd"/>
      <w:r>
        <w:t xml:space="preserve"> 2024 shared task. En </w:t>
      </w:r>
      <w:r>
        <w:rPr>
          <w:i/>
        </w:rPr>
        <w:t>Proceedings of the 4th Workshop on NLP for Indigenous Languages of the Americas (</w:t>
      </w:r>
      <w:proofErr w:type="spellStart"/>
      <w:r>
        <w:rPr>
          <w:i/>
        </w:rPr>
        <w:t>AmericasNLP</w:t>
      </w:r>
      <w:proofErr w:type="spellEnd"/>
      <w:r>
        <w:rPr>
          <w:i/>
        </w:rPr>
        <w:t xml:space="preserve"> 2024)</w:t>
      </w:r>
      <w:r>
        <w:t xml:space="preserve"> (pp. 143-149). https://aclanthology.org/2024.americasnlp-1.17/</w:t>
      </w:r>
    </w:p>
    <w:p w14:paraId="38D3B00F" w14:textId="77777777" w:rsidR="00636E09" w:rsidRDefault="00226D26">
      <w:pPr>
        <w:pStyle w:val="Referenciasbibliogrficas"/>
      </w:pPr>
      <w:r>
        <w:t xml:space="preserve">Hendy, A., Abdelrehim, M., Sharaf, A., Raunak, V., Gabr, M., Matsushita, H., Kim, Y. J., Afify, M., y Awadalla, H. H. (2023). </w:t>
      </w:r>
      <w:r>
        <w:rPr>
          <w:i/>
        </w:rPr>
        <w:t>How good are GPT models at machine translation? A comprehensive evaluation</w:t>
      </w:r>
      <w:r>
        <w:t xml:space="preserve"> [</w:t>
      </w:r>
      <w:proofErr w:type="spellStart"/>
      <w:r>
        <w:t>arXiv</w:t>
      </w:r>
      <w:proofErr w:type="spellEnd"/>
      <w:r>
        <w:t xml:space="preserve"> preprint]. https://arxiv.org/abs/2302.09210</w:t>
      </w:r>
    </w:p>
    <w:p w14:paraId="2C15F56F" w14:textId="77777777" w:rsidR="00636E09" w:rsidRDefault="00226D26">
      <w:pPr>
        <w:pStyle w:val="Referenciasbibliogrficas"/>
      </w:pPr>
      <w:r>
        <w:t xml:space="preserve">Hu, E. J., Shen, Y., Wallis, P., Allen-Zhu, Z., Li, Y., Wang, S., Wang, L., y Chen, W. (2022). </w:t>
      </w:r>
      <w:proofErr w:type="spellStart"/>
      <w:r>
        <w:t>LoRA</w:t>
      </w:r>
      <w:proofErr w:type="spellEnd"/>
      <w:r>
        <w:t xml:space="preserve">: Low-rank adaptation of large language models. En </w:t>
      </w:r>
      <w:r>
        <w:rPr>
          <w:i/>
        </w:rPr>
        <w:t>International Conference on Learning Representations (ICLR 2022)</w:t>
      </w:r>
      <w:r>
        <w:t>. https://arxiv.org/abs/2106.09685</w:t>
      </w:r>
    </w:p>
    <w:p w14:paraId="61756FD3" w14:textId="77777777" w:rsidR="00636E09" w:rsidRPr="00A616E4" w:rsidRDefault="00226D26">
      <w:pPr>
        <w:pStyle w:val="Referenciasbibliogrficas"/>
        <w:rPr>
          <w:lang w:val="es-CO"/>
        </w:rPr>
      </w:pPr>
      <w:r w:rsidRPr="00A616E4">
        <w:rPr>
          <w:lang w:val="es-CO"/>
        </w:rPr>
        <w:t xml:space="preserve">Jamioy Yanangona de Peña, O. (1985). </w:t>
      </w:r>
      <w:proofErr w:type="spellStart"/>
      <w:r w:rsidRPr="00A616E4">
        <w:rPr>
          <w:i/>
          <w:lang w:val="es-CO"/>
        </w:rPr>
        <w:t>Antihua</w:t>
      </w:r>
      <w:proofErr w:type="spellEnd"/>
      <w:r w:rsidRPr="00A616E4">
        <w:rPr>
          <w:i/>
          <w:lang w:val="es-CO"/>
        </w:rPr>
        <w:t xml:space="preserve"> Pacay </w:t>
      </w:r>
      <w:proofErr w:type="spellStart"/>
      <w:r w:rsidRPr="00A616E4">
        <w:rPr>
          <w:i/>
          <w:lang w:val="es-CO"/>
        </w:rPr>
        <w:t>Gentecunapa</w:t>
      </w:r>
      <w:proofErr w:type="spellEnd"/>
      <w:r w:rsidRPr="00A616E4">
        <w:rPr>
          <w:i/>
          <w:lang w:val="es-CO"/>
        </w:rPr>
        <w:t xml:space="preserve"> </w:t>
      </w:r>
      <w:proofErr w:type="spellStart"/>
      <w:r w:rsidRPr="00A616E4">
        <w:rPr>
          <w:i/>
          <w:lang w:val="es-CO"/>
        </w:rPr>
        <w:t>parlocuna</w:t>
      </w:r>
      <w:proofErr w:type="spellEnd"/>
      <w:r w:rsidRPr="00A616E4">
        <w:rPr>
          <w:i/>
          <w:lang w:val="es-CO"/>
        </w:rPr>
        <w:t xml:space="preserve">: Tradiciones de los </w:t>
      </w:r>
      <w:proofErr w:type="spellStart"/>
      <w:r w:rsidRPr="00A616E4">
        <w:rPr>
          <w:i/>
          <w:lang w:val="es-CO"/>
        </w:rPr>
        <w:t>Inganos</w:t>
      </w:r>
      <w:proofErr w:type="spellEnd"/>
      <w:r w:rsidRPr="00A616E4">
        <w:rPr>
          <w:i/>
          <w:lang w:val="es-CO"/>
        </w:rPr>
        <w:t xml:space="preserve"> Pacayes</w:t>
      </w:r>
      <w:r w:rsidRPr="00A616E4">
        <w:rPr>
          <w:lang w:val="es-CO"/>
        </w:rPr>
        <w:t xml:space="preserve"> (Cartilla Inga, Serie: Historias Tradicionales, Edición provisional). Proyecto Bilingüe Inga-Castellano del Vicariato Apostólico de Sibundoy; SIL International </w:t>
      </w:r>
      <w:proofErr w:type="spellStart"/>
      <w:r w:rsidRPr="00A616E4">
        <w:rPr>
          <w:lang w:val="es-CO"/>
        </w:rPr>
        <w:t>Language</w:t>
      </w:r>
      <w:proofErr w:type="spellEnd"/>
      <w:r w:rsidRPr="00A616E4">
        <w:rPr>
          <w:lang w:val="es-CO"/>
        </w:rPr>
        <w:t xml:space="preserve"> and Culture Archives.</w:t>
      </w:r>
    </w:p>
    <w:p w14:paraId="714FDCF2" w14:textId="77777777" w:rsidR="00636E09" w:rsidRDefault="00226D26">
      <w:pPr>
        <w:pStyle w:val="Referenciasbibliogrficas"/>
      </w:pPr>
      <w:proofErr w:type="spellStart"/>
      <w:r w:rsidRPr="00A616E4">
        <w:rPr>
          <w:lang w:val="es-CO"/>
        </w:rPr>
        <w:t>Kudugunta</w:t>
      </w:r>
      <w:proofErr w:type="spellEnd"/>
      <w:r w:rsidRPr="00A616E4">
        <w:rPr>
          <w:lang w:val="es-CO"/>
        </w:rPr>
        <w:t xml:space="preserve">, S., Caswell, I., Zhang, B., </w:t>
      </w:r>
      <w:proofErr w:type="spellStart"/>
      <w:r w:rsidRPr="00A616E4">
        <w:rPr>
          <w:lang w:val="es-CO"/>
        </w:rPr>
        <w:t>Garcia</w:t>
      </w:r>
      <w:proofErr w:type="spellEnd"/>
      <w:r w:rsidRPr="00A616E4">
        <w:rPr>
          <w:lang w:val="es-CO"/>
        </w:rPr>
        <w:t xml:space="preserve">, X., Choquette-Choo, C. A., Lee, K., Xin, D., Kusupati, A., Stella, R., </w:t>
      </w:r>
      <w:proofErr w:type="spellStart"/>
      <w:r w:rsidRPr="00A616E4">
        <w:rPr>
          <w:lang w:val="es-CO"/>
        </w:rPr>
        <w:t>Bapna</w:t>
      </w:r>
      <w:proofErr w:type="spellEnd"/>
      <w:r w:rsidRPr="00A616E4">
        <w:rPr>
          <w:lang w:val="es-CO"/>
        </w:rPr>
        <w:t xml:space="preserve">, A., y Firat, O. (2023). </w:t>
      </w:r>
      <w:r>
        <w:t xml:space="preserve">MADLAD-400: A multilingual and document-level </w:t>
      </w:r>
      <w:proofErr w:type="gramStart"/>
      <w:r>
        <w:t>large audited</w:t>
      </w:r>
      <w:proofErr w:type="gramEnd"/>
      <w:r>
        <w:t xml:space="preserve"> dataset. En </w:t>
      </w:r>
      <w:r>
        <w:rPr>
          <w:i/>
        </w:rPr>
        <w:t>Advances in Neural Information Processing Systems 36 (</w:t>
      </w:r>
      <w:proofErr w:type="spellStart"/>
      <w:r>
        <w:rPr>
          <w:i/>
        </w:rPr>
        <w:t>NeurIPS</w:t>
      </w:r>
      <w:proofErr w:type="spellEnd"/>
      <w:r>
        <w:rPr>
          <w:i/>
        </w:rPr>
        <w:t xml:space="preserve"> 2023 Datasets and Benchmarks Track)</w:t>
      </w:r>
      <w:r>
        <w:t>. https://arxiv.org/abs/2309.04662</w:t>
      </w:r>
    </w:p>
    <w:p w14:paraId="1FDC3451" w14:textId="77777777" w:rsidR="00636E09" w:rsidRPr="00A616E4" w:rsidRDefault="00226D26">
      <w:pPr>
        <w:pStyle w:val="Referenciasbibliogrficas"/>
        <w:rPr>
          <w:lang w:val="es-CO"/>
        </w:rPr>
      </w:pPr>
      <w:r w:rsidRPr="00A616E4">
        <w:rPr>
          <w:lang w:val="es-CO"/>
        </w:rPr>
        <w:t xml:space="preserve">Levinsohn, S. H., y </w:t>
      </w:r>
      <w:proofErr w:type="spellStart"/>
      <w:r w:rsidRPr="00A616E4">
        <w:rPr>
          <w:lang w:val="es-CO"/>
        </w:rPr>
        <w:t>Mongui</w:t>
      </w:r>
      <w:proofErr w:type="spellEnd"/>
      <w:r w:rsidRPr="00A616E4">
        <w:rPr>
          <w:lang w:val="es-CO"/>
        </w:rPr>
        <w:t xml:space="preserve">, R. (s.f.). </w:t>
      </w:r>
      <w:r w:rsidRPr="00A616E4">
        <w:rPr>
          <w:i/>
          <w:lang w:val="es-CO"/>
        </w:rPr>
        <w:t xml:space="preserve">Inga </w:t>
      </w:r>
      <w:proofErr w:type="spellStart"/>
      <w:r w:rsidRPr="00A616E4">
        <w:rPr>
          <w:i/>
          <w:lang w:val="es-CO"/>
        </w:rPr>
        <w:t>Kichwa</w:t>
      </w:r>
      <w:proofErr w:type="spellEnd"/>
      <w:r w:rsidRPr="00A616E4">
        <w:rPr>
          <w:i/>
          <w:lang w:val="es-CO"/>
        </w:rPr>
        <w:t>: Una gramática pedagógica del Inga (Partes 1 y 2)</w:t>
      </w:r>
      <w:r w:rsidRPr="00A616E4">
        <w:rPr>
          <w:lang w:val="es-CO"/>
        </w:rPr>
        <w:t>. Instituto Lingüístico de Verano.</w:t>
      </w:r>
    </w:p>
    <w:p w14:paraId="5DCFB967" w14:textId="77777777" w:rsidR="00636E09" w:rsidRDefault="00226D26">
      <w:pPr>
        <w:pStyle w:val="Referenciasbibliogrficas"/>
      </w:pPr>
      <w:r w:rsidRPr="00A616E4">
        <w:rPr>
          <w:lang w:val="es-CO"/>
        </w:rPr>
        <w:t xml:space="preserve">Lewis, P., </w:t>
      </w:r>
      <w:proofErr w:type="spellStart"/>
      <w:r w:rsidRPr="00A616E4">
        <w:rPr>
          <w:lang w:val="es-CO"/>
        </w:rPr>
        <w:t>Perez</w:t>
      </w:r>
      <w:proofErr w:type="spellEnd"/>
      <w:r w:rsidRPr="00A616E4">
        <w:rPr>
          <w:lang w:val="es-CO"/>
        </w:rPr>
        <w:t xml:space="preserve">, E., </w:t>
      </w:r>
      <w:proofErr w:type="spellStart"/>
      <w:r w:rsidRPr="00A616E4">
        <w:rPr>
          <w:lang w:val="es-CO"/>
        </w:rPr>
        <w:t>Piktus</w:t>
      </w:r>
      <w:proofErr w:type="spellEnd"/>
      <w:r w:rsidRPr="00A616E4">
        <w:rPr>
          <w:lang w:val="es-CO"/>
        </w:rPr>
        <w:t xml:space="preserve">, A., Petroni, F., </w:t>
      </w:r>
      <w:proofErr w:type="spellStart"/>
      <w:r w:rsidRPr="00A616E4">
        <w:rPr>
          <w:lang w:val="es-CO"/>
        </w:rPr>
        <w:t>Karpukhin</w:t>
      </w:r>
      <w:proofErr w:type="spellEnd"/>
      <w:r w:rsidRPr="00A616E4">
        <w:rPr>
          <w:lang w:val="es-CO"/>
        </w:rPr>
        <w:t xml:space="preserve">, V., Goyal, N., </w:t>
      </w:r>
      <w:proofErr w:type="spellStart"/>
      <w:r w:rsidRPr="00A616E4">
        <w:rPr>
          <w:lang w:val="es-CO"/>
        </w:rPr>
        <w:t>Küttler</w:t>
      </w:r>
      <w:proofErr w:type="spellEnd"/>
      <w:r w:rsidRPr="00A616E4">
        <w:rPr>
          <w:lang w:val="es-CO"/>
        </w:rPr>
        <w:t xml:space="preserve">, H., Lewis, M., Yih, W., </w:t>
      </w:r>
      <w:proofErr w:type="spellStart"/>
      <w:r w:rsidRPr="00A616E4">
        <w:rPr>
          <w:lang w:val="es-CO"/>
        </w:rPr>
        <w:t>Rocktäschel</w:t>
      </w:r>
      <w:proofErr w:type="spellEnd"/>
      <w:r w:rsidRPr="00A616E4">
        <w:rPr>
          <w:lang w:val="es-CO"/>
        </w:rPr>
        <w:t xml:space="preserve">, T., Riedel, S., y Kiela, D. (2020). </w:t>
      </w:r>
      <w:r>
        <w:t xml:space="preserve">Retrieval-augmented generation for knowledge-intensive NLP tasks. En </w:t>
      </w:r>
      <w:r>
        <w:rPr>
          <w:i/>
        </w:rPr>
        <w:t>Advances in Neural Information Processing Systems 33 (</w:t>
      </w:r>
      <w:proofErr w:type="spellStart"/>
      <w:r>
        <w:rPr>
          <w:i/>
        </w:rPr>
        <w:t>NeurIPS</w:t>
      </w:r>
      <w:proofErr w:type="spellEnd"/>
      <w:r>
        <w:rPr>
          <w:i/>
        </w:rPr>
        <w:t xml:space="preserve"> 2020)</w:t>
      </w:r>
      <w:r>
        <w:t>. https://arxiv.org/abs/2005.11401</w:t>
      </w:r>
    </w:p>
    <w:p w14:paraId="0508842E" w14:textId="77777777" w:rsidR="00636E09" w:rsidRDefault="00226D26">
      <w:pPr>
        <w:pStyle w:val="Referenciasbibliogrficas"/>
      </w:pPr>
      <w:r>
        <w:t xml:space="preserve">Liu, S.-Y., Wang, C.-Y., Yin, H., Molchanov, P., Wang, Y.-C. F., Cheng, K.-T., y Chen, M.-H. (2024). </w:t>
      </w:r>
      <w:proofErr w:type="spellStart"/>
      <w:r>
        <w:t>DoRA</w:t>
      </w:r>
      <w:proofErr w:type="spellEnd"/>
      <w:r>
        <w:t xml:space="preserve">: Weight-decomposed low-rank adaptation. En </w:t>
      </w:r>
      <w:r>
        <w:rPr>
          <w:i/>
        </w:rPr>
        <w:t>Proceedings of the 41st International Conference on Machine Learning (ICML 2024)</w:t>
      </w:r>
      <w:r>
        <w:t>. https://arxiv.org/abs/2402.09353</w:t>
      </w:r>
    </w:p>
    <w:p w14:paraId="32C3916F" w14:textId="77777777" w:rsidR="00636E09" w:rsidRDefault="00226D26">
      <w:pPr>
        <w:pStyle w:val="Referenciasbibliogrficas"/>
      </w:pPr>
      <w:r>
        <w:lastRenderedPageBreak/>
        <w:t xml:space="preserve">Mager, M., Mager, E., Kann, K., y Vu, N. T. (2023). Ethical considerations for machine translation of indigenous languages: Giving a voice to the speakers. En </w:t>
      </w:r>
      <w:r>
        <w:rPr>
          <w:i/>
        </w:rPr>
        <w:t>Proceedings of the 61st Annual Meeting of the Association for Computational Linguistics (ACL 2023)</w:t>
      </w:r>
      <w:r>
        <w:t>. https://aclanthology.org/2023.acl-long.313/</w:t>
      </w:r>
    </w:p>
    <w:p w14:paraId="13AF160F" w14:textId="77777777" w:rsidR="00636E09" w:rsidRDefault="00226D26">
      <w:pPr>
        <w:pStyle w:val="Referenciasbibliogrficas"/>
      </w:pPr>
      <w:r>
        <w:t>NLLB Team, Costa-</w:t>
      </w:r>
      <w:proofErr w:type="spellStart"/>
      <w:r>
        <w:t>jussà</w:t>
      </w:r>
      <w:proofErr w:type="spellEnd"/>
      <w:r>
        <w:t xml:space="preserve">, M. R., Cross, J., Çelebi, O., </w:t>
      </w:r>
      <w:proofErr w:type="spellStart"/>
      <w:r>
        <w:t>Elbayad</w:t>
      </w:r>
      <w:proofErr w:type="spellEnd"/>
      <w:r>
        <w:t xml:space="preserve">, M., </w:t>
      </w:r>
      <w:proofErr w:type="spellStart"/>
      <w:r>
        <w:t>Heafield</w:t>
      </w:r>
      <w:proofErr w:type="spellEnd"/>
      <w:r>
        <w:t xml:space="preserve">, K., Heffernan, K., </w:t>
      </w:r>
      <w:proofErr w:type="spellStart"/>
      <w:r>
        <w:t>Kalbassi</w:t>
      </w:r>
      <w:proofErr w:type="spellEnd"/>
      <w:r>
        <w:t xml:space="preserve">, E., Lam, J., Licht, D., Maillard, J., Sun, A., Wang, S., Wenzek, G., Youngblood, A., Akula, B., Barrault, L., Mejia Gonzalez, G., Hansanti, P., ... Wang, J. (2022). </w:t>
      </w:r>
      <w:r>
        <w:rPr>
          <w:i/>
        </w:rPr>
        <w:t>No language left behind: Scaling human-centered machine translation</w:t>
      </w:r>
      <w:r>
        <w:t xml:space="preserve"> [</w:t>
      </w:r>
      <w:proofErr w:type="spellStart"/>
      <w:r>
        <w:t>arXiv</w:t>
      </w:r>
      <w:proofErr w:type="spellEnd"/>
      <w:r>
        <w:t xml:space="preserve"> preprint]. https://arxiv.org/abs/2207.04672</w:t>
      </w:r>
    </w:p>
    <w:p w14:paraId="3EEE02E8" w14:textId="77777777" w:rsidR="00636E09" w:rsidRDefault="00226D26">
      <w:pPr>
        <w:pStyle w:val="Referenciasbibliogrficas"/>
      </w:pPr>
      <w:r>
        <w:t>NLLB Team, Costa-</w:t>
      </w:r>
      <w:proofErr w:type="spellStart"/>
      <w:r>
        <w:t>jussà</w:t>
      </w:r>
      <w:proofErr w:type="spellEnd"/>
      <w:r>
        <w:t xml:space="preserve">, M. R., Cross, J., Çelebi, O., </w:t>
      </w:r>
      <w:proofErr w:type="spellStart"/>
      <w:r>
        <w:t>Elbayad</w:t>
      </w:r>
      <w:proofErr w:type="spellEnd"/>
      <w:r>
        <w:t xml:space="preserve">, M., </w:t>
      </w:r>
      <w:proofErr w:type="spellStart"/>
      <w:r>
        <w:t>Heafield</w:t>
      </w:r>
      <w:proofErr w:type="spellEnd"/>
      <w:r>
        <w:t xml:space="preserve">, K., Heffernan, K., </w:t>
      </w:r>
      <w:proofErr w:type="spellStart"/>
      <w:r>
        <w:t>Kalbassi</w:t>
      </w:r>
      <w:proofErr w:type="spellEnd"/>
      <w:r>
        <w:t xml:space="preserve">, E., Lam, J., Licht, D., Maillard, J., Sun, A., Wang, S., Wenzek, G., Youngblood, A., Akula, B., Barrault, L., Mejia Gonzalez, G., Hansanti, P., ... Wang, J. (2024). Scaling neural machine translation to 200 languages. </w:t>
      </w:r>
      <w:r>
        <w:rPr>
          <w:i/>
        </w:rPr>
        <w:t>Nature, 630</w:t>
      </w:r>
      <w:r>
        <w:t>(8018), 841-846. https://doi.org/10.1038/s41586-024-07335-x</w:t>
      </w:r>
    </w:p>
    <w:p w14:paraId="4BF266BB" w14:textId="77777777" w:rsidR="00636E09" w:rsidRDefault="00226D26">
      <w:pPr>
        <w:pStyle w:val="Referenciasbibliogrficas"/>
      </w:pPr>
      <w:r>
        <w:t xml:space="preserve">Popović, M. (2017). </w:t>
      </w:r>
      <w:proofErr w:type="spellStart"/>
      <w:r>
        <w:t>chrF</w:t>
      </w:r>
      <w:proofErr w:type="spellEnd"/>
      <w:r>
        <w:t xml:space="preserve">++: Words helping character n-grams. En </w:t>
      </w:r>
      <w:r>
        <w:rPr>
          <w:i/>
        </w:rPr>
        <w:t>Proceedings of the Second Conference on Machine Translation (WMT 2017)</w:t>
      </w:r>
      <w:r>
        <w:t xml:space="preserve"> (pp. 612-618). https://aclanthology.org/W17-4770/</w:t>
      </w:r>
    </w:p>
    <w:p w14:paraId="2D5BF5B7" w14:textId="77777777" w:rsidR="00636E09" w:rsidRDefault="00226D26">
      <w:pPr>
        <w:pStyle w:val="Referenciasbibliogrficas"/>
      </w:pPr>
      <w:r w:rsidRPr="00A616E4">
        <w:rPr>
          <w:lang w:val="es-CO"/>
        </w:rPr>
        <w:t xml:space="preserve">Prieto, J., </w:t>
      </w:r>
      <w:proofErr w:type="spellStart"/>
      <w:r w:rsidRPr="00A616E4">
        <w:rPr>
          <w:lang w:val="es-CO"/>
        </w:rPr>
        <w:t>Martinez</w:t>
      </w:r>
      <w:proofErr w:type="spellEnd"/>
      <w:r w:rsidRPr="00A616E4">
        <w:rPr>
          <w:lang w:val="es-CO"/>
        </w:rPr>
        <w:t xml:space="preserve">, C., Robles, M., Moreno, A., Palacios, S., y Manrique, R. (2024). </w:t>
      </w:r>
      <w:r>
        <w:t xml:space="preserve">Translation systems for low-resource Colombian indigenous languages: A first step towards cultural preservation. En </w:t>
      </w:r>
      <w:r>
        <w:rPr>
          <w:i/>
        </w:rPr>
        <w:t>Proceedings of the 4th Workshop on NLP for Indigenous Languages of the Americas (</w:t>
      </w:r>
      <w:proofErr w:type="spellStart"/>
      <w:r>
        <w:rPr>
          <w:i/>
        </w:rPr>
        <w:t>AmericasNLP</w:t>
      </w:r>
      <w:proofErr w:type="spellEnd"/>
      <w:r>
        <w:rPr>
          <w:i/>
        </w:rPr>
        <w:t xml:space="preserve"> 2024)</w:t>
      </w:r>
      <w:r>
        <w:t xml:space="preserve"> (pp. 7-14). https://aclanthology.org/2024.americasnlp-1.2/</w:t>
      </w:r>
    </w:p>
    <w:p w14:paraId="3BEE48E5" w14:textId="77777777" w:rsidR="00636E09" w:rsidRDefault="00226D26">
      <w:pPr>
        <w:pStyle w:val="Referenciasbibliogrficas"/>
      </w:pPr>
      <w:r w:rsidRPr="00A616E4">
        <w:rPr>
          <w:lang w:val="es-CO"/>
        </w:rPr>
        <w:t xml:space="preserve">Rei, R., De Souza, J. G. C., Alves, D., Zerva, C., Farinha, A. C., </w:t>
      </w:r>
      <w:proofErr w:type="spellStart"/>
      <w:r w:rsidRPr="00A616E4">
        <w:rPr>
          <w:lang w:val="es-CO"/>
        </w:rPr>
        <w:t>Glushkova</w:t>
      </w:r>
      <w:proofErr w:type="spellEnd"/>
      <w:r w:rsidRPr="00A616E4">
        <w:rPr>
          <w:lang w:val="es-CO"/>
        </w:rPr>
        <w:t xml:space="preserve">, T., Lavie, A., </w:t>
      </w:r>
      <w:proofErr w:type="spellStart"/>
      <w:r w:rsidRPr="00A616E4">
        <w:rPr>
          <w:lang w:val="es-CO"/>
        </w:rPr>
        <w:t>Coheur</w:t>
      </w:r>
      <w:proofErr w:type="spellEnd"/>
      <w:r w:rsidRPr="00A616E4">
        <w:rPr>
          <w:lang w:val="es-CO"/>
        </w:rPr>
        <w:t xml:space="preserve">, L., y </w:t>
      </w:r>
      <w:proofErr w:type="spellStart"/>
      <w:r w:rsidRPr="00A616E4">
        <w:rPr>
          <w:lang w:val="es-CO"/>
        </w:rPr>
        <w:t>Martins</w:t>
      </w:r>
      <w:proofErr w:type="spellEnd"/>
      <w:r w:rsidRPr="00A616E4">
        <w:rPr>
          <w:lang w:val="es-CO"/>
        </w:rPr>
        <w:t xml:space="preserve">, A. F. T. (2022). </w:t>
      </w:r>
      <w:r>
        <w:t xml:space="preserve">COMET-22: </w:t>
      </w:r>
      <w:proofErr w:type="spellStart"/>
      <w:r>
        <w:t>Unbabel</w:t>
      </w:r>
      <w:proofErr w:type="spellEnd"/>
      <w:r>
        <w:t xml:space="preserve">-IST 2022 submission for the metrics shared task. En </w:t>
      </w:r>
      <w:r>
        <w:rPr>
          <w:i/>
        </w:rPr>
        <w:t>Proceedings of the Seventh Conference on Machine Translation (WMT 2022)</w:t>
      </w:r>
      <w:r>
        <w:t xml:space="preserve"> (pp. 578-585). https://aclanthology.org/2022.wmt-1.52/</w:t>
      </w:r>
    </w:p>
    <w:p w14:paraId="3F6F43BF" w14:textId="77777777" w:rsidR="00636E09" w:rsidRDefault="00226D26">
      <w:pPr>
        <w:pStyle w:val="Referenciasbibliogrficas"/>
      </w:pPr>
      <w:r w:rsidRPr="00A616E4">
        <w:rPr>
          <w:lang w:val="es-CO"/>
        </w:rPr>
        <w:t xml:space="preserve">Salazar, I., Manrique, R., y Pereira Nunes, B. (2025). </w:t>
      </w:r>
      <w:r>
        <w:t xml:space="preserve">Machine translation strategies for low-resource Colombian indigenous languages. </w:t>
      </w:r>
      <w:r>
        <w:rPr>
          <w:i/>
        </w:rPr>
        <w:t>SN Computer Science, 6</w:t>
      </w:r>
      <w:r>
        <w:t>. https://doi.org/10.1007/s42979-025-04255-z</w:t>
      </w:r>
    </w:p>
    <w:p w14:paraId="2A86C5F6" w14:textId="77777777" w:rsidR="00636E09" w:rsidRDefault="00226D26">
      <w:pPr>
        <w:pStyle w:val="Referenciasbibliogrficas"/>
      </w:pPr>
      <w:r>
        <w:lastRenderedPageBreak/>
        <w:t xml:space="preserve">Su, T., Peng, X., </w:t>
      </w:r>
      <w:proofErr w:type="spellStart"/>
      <w:r>
        <w:t>Thillainathan</w:t>
      </w:r>
      <w:proofErr w:type="spellEnd"/>
      <w:r>
        <w:t xml:space="preserve">, S., Guzmán, D., Ranathunga, S., y Lee, E.-S. A. (2024). </w:t>
      </w:r>
      <w:r>
        <w:rPr>
          <w:i/>
        </w:rPr>
        <w:t>Unlocking parameter-efficient fine-tuning for low-resource language translation</w:t>
      </w:r>
      <w:r>
        <w:t xml:space="preserve"> [</w:t>
      </w:r>
      <w:proofErr w:type="spellStart"/>
      <w:r>
        <w:t>arXiv</w:t>
      </w:r>
      <w:proofErr w:type="spellEnd"/>
      <w:r>
        <w:t xml:space="preserve"> preprint]. https://arxiv.org/abs/2404.04212</w:t>
      </w:r>
    </w:p>
    <w:p w14:paraId="0F654477" w14:textId="77777777" w:rsidR="00636E09" w:rsidRPr="00A616E4" w:rsidRDefault="00226D26">
      <w:pPr>
        <w:pStyle w:val="Referenciasbibliogrficas"/>
        <w:rPr>
          <w:lang w:val="es-CO"/>
        </w:rPr>
      </w:pPr>
      <w:r w:rsidRPr="00A616E4">
        <w:rPr>
          <w:lang w:val="es-CO"/>
        </w:rPr>
        <w:t xml:space="preserve">Tandioy Jansasoy, F., Levinsohn, S. H., y Tandioy Chasoy, D. (1997). </w:t>
      </w:r>
      <w:r w:rsidRPr="00A616E4">
        <w:rPr>
          <w:i/>
          <w:lang w:val="es-CO"/>
        </w:rPr>
        <w:t>Diccionario Inga</w:t>
      </w:r>
      <w:r w:rsidRPr="00A616E4">
        <w:rPr>
          <w:lang w:val="es-CO"/>
        </w:rPr>
        <w:t xml:space="preserve"> (Edición interina en el nuevo alfabeto). Comité de Educación Inga de la Organización Musu </w:t>
      </w:r>
      <w:proofErr w:type="spellStart"/>
      <w:r w:rsidRPr="00A616E4">
        <w:rPr>
          <w:lang w:val="es-CO"/>
        </w:rPr>
        <w:t>Runakuna</w:t>
      </w:r>
      <w:proofErr w:type="spellEnd"/>
      <w:r w:rsidRPr="00A616E4">
        <w:rPr>
          <w:lang w:val="es-CO"/>
        </w:rPr>
        <w:t>.</w:t>
      </w:r>
    </w:p>
    <w:p w14:paraId="3B003165" w14:textId="77777777" w:rsidR="00636E09" w:rsidRDefault="00226D26">
      <w:pPr>
        <w:pStyle w:val="Referenciasbibliogrficas"/>
      </w:pPr>
      <w:r w:rsidRPr="00A616E4">
        <w:rPr>
          <w:lang w:val="es-CO"/>
        </w:rPr>
        <w:t xml:space="preserve">Tonja, A. L., </w:t>
      </w:r>
      <w:proofErr w:type="spellStart"/>
      <w:r w:rsidRPr="00A616E4">
        <w:rPr>
          <w:lang w:val="es-CO"/>
        </w:rPr>
        <w:t>Balouchzahi</w:t>
      </w:r>
      <w:proofErr w:type="spellEnd"/>
      <w:r w:rsidRPr="00A616E4">
        <w:rPr>
          <w:lang w:val="es-CO"/>
        </w:rPr>
        <w:t xml:space="preserve">, F., Butt, S., Kolesnikova, O., Ceballos, H., </w:t>
      </w:r>
      <w:proofErr w:type="spellStart"/>
      <w:r w:rsidRPr="00A616E4">
        <w:rPr>
          <w:lang w:val="es-CO"/>
        </w:rPr>
        <w:t>Gelbukh</w:t>
      </w:r>
      <w:proofErr w:type="spellEnd"/>
      <w:r w:rsidRPr="00A616E4">
        <w:rPr>
          <w:lang w:val="es-CO"/>
        </w:rPr>
        <w:t xml:space="preserve">, A., y Solorio, T. (2024). </w:t>
      </w:r>
      <w:r>
        <w:t xml:space="preserve">NLP progress in indigenous Latin American languages. En </w:t>
      </w:r>
      <w:r>
        <w:rPr>
          <w:i/>
        </w:rPr>
        <w:t>Findings of the Association for Computational Linguistics: NAACL 2024</w:t>
      </w:r>
      <w:r>
        <w:t>. https://arxiv.org/abs/2404.05365</w:t>
      </w:r>
    </w:p>
    <w:p w14:paraId="1173B0F5" w14:textId="77777777" w:rsidR="00636E09" w:rsidRDefault="00226D26">
      <w:pPr>
        <w:pStyle w:val="Referenciasbibliogrficas"/>
      </w:pPr>
      <w:r>
        <w:t xml:space="preserve">UNESCO. (2022). </w:t>
      </w:r>
      <w:r>
        <w:rPr>
          <w:i/>
        </w:rPr>
        <w:t>World Atlas of Languages</w:t>
      </w:r>
      <w:r>
        <w:t>. United Nations Educational, Scientific and Cultural Organization. https://en.wal.unesco.org/</w:t>
      </w:r>
    </w:p>
    <w:p w14:paraId="1E586280" w14:textId="77777777" w:rsidR="00636E09" w:rsidRDefault="00226D26">
      <w:pPr>
        <w:pStyle w:val="Referenciasbibliogrficas"/>
      </w:pPr>
      <w:r>
        <w:t xml:space="preserve">Wang, J., Meng, F., Zhang, Y., y Zhou, J. (2024). </w:t>
      </w:r>
      <w:r>
        <w:rPr>
          <w:i/>
        </w:rPr>
        <w:t>Retrieval-augmented machine translation with unstructured knowledge</w:t>
      </w:r>
      <w:r>
        <w:t xml:space="preserve"> [</w:t>
      </w:r>
      <w:proofErr w:type="spellStart"/>
      <w:r>
        <w:t>arXiv</w:t>
      </w:r>
      <w:proofErr w:type="spellEnd"/>
      <w:r>
        <w:t xml:space="preserve"> preprint]. https://arxiv.org/abs/2412.04342</w:t>
      </w:r>
    </w:p>
    <w:p w14:paraId="3FC78485" w14:textId="77777777" w:rsidR="00636E09" w:rsidRDefault="00226D26">
      <w:pPr>
        <w:pStyle w:val="Referenciasbibliogrficas"/>
      </w:pPr>
      <w:proofErr w:type="spellStart"/>
      <w:r w:rsidRPr="00A616E4">
        <w:rPr>
          <w:lang w:val="es-CO"/>
        </w:rPr>
        <w:t>Wycliffe</w:t>
      </w:r>
      <w:proofErr w:type="spellEnd"/>
      <w:r w:rsidRPr="00A616E4">
        <w:rPr>
          <w:lang w:val="es-CO"/>
        </w:rPr>
        <w:t xml:space="preserve"> Bible </w:t>
      </w:r>
      <w:proofErr w:type="spellStart"/>
      <w:r w:rsidRPr="00A616E4">
        <w:rPr>
          <w:lang w:val="es-CO"/>
        </w:rPr>
        <w:t>Translators</w:t>
      </w:r>
      <w:proofErr w:type="spellEnd"/>
      <w:r w:rsidRPr="00A616E4">
        <w:rPr>
          <w:lang w:val="es-CO"/>
        </w:rPr>
        <w:t xml:space="preserve">. (2012). </w:t>
      </w:r>
      <w:proofErr w:type="spellStart"/>
      <w:r w:rsidRPr="00A616E4">
        <w:rPr>
          <w:i/>
          <w:lang w:val="es-CO"/>
        </w:rPr>
        <w:t>Kaipimi</w:t>
      </w:r>
      <w:proofErr w:type="spellEnd"/>
      <w:r w:rsidRPr="00A616E4">
        <w:rPr>
          <w:i/>
          <w:lang w:val="es-CO"/>
        </w:rPr>
        <w:t xml:space="preserve"> Taita Dius Rimaku: El Nuevo Testamento en el idioma Inga de Colombia</w:t>
      </w:r>
      <w:r w:rsidRPr="00A616E4">
        <w:rPr>
          <w:lang w:val="es-CO"/>
        </w:rPr>
        <w:t xml:space="preserve"> (2ª ed.) </w:t>
      </w:r>
      <w:r>
        <w:t xml:space="preserve">[Bajo </w:t>
      </w:r>
      <w:proofErr w:type="spellStart"/>
      <w:r>
        <w:t>licencia</w:t>
      </w:r>
      <w:proofErr w:type="spellEnd"/>
      <w:r>
        <w:t xml:space="preserve"> Creative Commons BY-NC-ND 3.0].</w:t>
      </w:r>
    </w:p>
    <w:p w14:paraId="6433A8BF" w14:textId="77777777" w:rsidR="00636E09" w:rsidRDefault="00226D26">
      <w:pPr>
        <w:pStyle w:val="Referenciasbibliogrficas"/>
      </w:pPr>
      <w:r>
        <w:t xml:space="preserve">Zhang, S., Frey, B., y Bansal, M. (2022). How can NLP help revitalize endangered languages? A case study and roadmap for the Cherokee language. En </w:t>
      </w:r>
      <w:r>
        <w:rPr>
          <w:i/>
        </w:rPr>
        <w:t>Proceedings of ACL 2022</w:t>
      </w:r>
      <w:r>
        <w:t>. https://aclanthology.org/2022.acl-long.507/</w:t>
      </w:r>
    </w:p>
    <w:p w14:paraId="2CDD9DB3" w14:textId="77777777" w:rsidR="00636E09" w:rsidRDefault="00226D26">
      <w:pPr>
        <w:pStyle w:val="Referenciasbibliogrficas"/>
      </w:pPr>
      <w:r>
        <w:t xml:space="preserve">Zhang, T., Kishore, V., Wu, F., Weinberger, K. Q., y Artzi, Y. (2020). BERTScore: Evaluating text generation with BERT. En </w:t>
      </w:r>
      <w:r>
        <w:rPr>
          <w:i/>
        </w:rPr>
        <w:t>International Conference on Learning Representations (ICLR 2020)</w:t>
      </w:r>
      <w:r>
        <w:t>. https://arxiv.org/abs/1904.09675</w:t>
      </w:r>
    </w:p>
    <w:p w14:paraId="4CF7AE99" w14:textId="77777777" w:rsidR="00636E09" w:rsidRDefault="00226D26">
      <w:pPr>
        <w:pStyle w:val="Referenciasbibliogrficas"/>
      </w:pPr>
      <w:r>
        <w:t xml:space="preserve">Zhu, W., Liu, H., Dong, Q., Xu, J., Huang, S., Kong, L., Chen, J., y Li, L. (2024). Multilingual machine translation with large language models: Empirical results and analysis. En </w:t>
      </w:r>
      <w:r>
        <w:rPr>
          <w:i/>
        </w:rPr>
        <w:t>Findings of the Association for Computational Linguistics: NAACL 2024</w:t>
      </w:r>
      <w:r>
        <w:t xml:space="preserve"> (pp. 2765-2781). https://aclanthology.org/2024.findings-naacl.176/</w:t>
      </w:r>
    </w:p>
    <w:p w14:paraId="54F203DD" w14:textId="77777777" w:rsidR="00636E09" w:rsidRDefault="049C66FE">
      <w:pPr>
        <w:pStyle w:val="Anexo"/>
        <w:pageBreakBefore/>
      </w:pPr>
      <w:bookmarkStart w:id="150" w:name="_Toc230950289"/>
      <w:bookmarkStart w:id="151" w:name="_Toc233199107"/>
      <w:r>
        <w:lastRenderedPageBreak/>
        <w:t>Anexo A. Código fuente y datos analizados</w:t>
      </w:r>
      <w:bookmarkEnd w:id="150"/>
      <w:bookmarkEnd w:id="151"/>
    </w:p>
    <w:p w14:paraId="638B1EC8"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El código fuente del TFM se aloja en el repositorio </w:t>
      </w:r>
      <w:hyperlink r:id="rId23">
        <w:r w:rsidRPr="3DB4A857">
          <w:rPr>
            <w:rStyle w:val="Hyperlink"/>
            <w:rFonts w:ascii="Consolas" w:eastAsia="Consolas" w:hAnsi="Consolas" w:cs="Consolas"/>
          </w:rPr>
          <w:t>https://github.com/Purakuna/tfm-inga-traduccion</w:t>
        </w:r>
      </w:hyperlink>
      <w:r w:rsidRPr="3DB4A857">
        <w:rPr>
          <w:rFonts w:ascii="Calibri" w:eastAsia="Calibri" w:hAnsi="Calibri" w:cs="Calibri"/>
          <w:color w:val="000000" w:themeColor="text1"/>
        </w:rPr>
        <w:t xml:space="preserve"> de la organización Purakuna, de acceso restringido durante la ejecución del proyecto, con el enlace comunicado al director del trabajo. El proyecto se gestiona como paquete Python reproducible con </w:t>
      </w:r>
      <w:proofErr w:type="gramStart"/>
      <w:r w:rsidRPr="3DB4A857">
        <w:rPr>
          <w:rFonts w:ascii="Consolas" w:eastAsia="Consolas" w:hAnsi="Consolas" w:cs="Consolas"/>
          <w:color w:val="000000" w:themeColor="text1"/>
        </w:rPr>
        <w:t>pyproject.toml</w:t>
      </w:r>
      <w:proofErr w:type="gramEnd"/>
      <w:r w:rsidRPr="3DB4A857">
        <w:rPr>
          <w:rFonts w:ascii="Calibri" w:eastAsia="Calibri" w:hAnsi="Calibri" w:cs="Calibri"/>
          <w:color w:val="000000" w:themeColor="text1"/>
        </w:rPr>
        <w:t xml:space="preserve"> y </w:t>
      </w:r>
      <w:proofErr w:type="gramStart"/>
      <w:r w:rsidRPr="3DB4A857">
        <w:rPr>
          <w:rFonts w:ascii="Consolas" w:eastAsia="Consolas" w:hAnsi="Consolas" w:cs="Consolas"/>
          <w:color w:val="000000" w:themeColor="text1"/>
        </w:rPr>
        <w:t>uv.lock</w:t>
      </w:r>
      <w:proofErr w:type="gramEnd"/>
      <w:r w:rsidRPr="3DB4A857">
        <w:rPr>
          <w:rFonts w:ascii="Calibri" w:eastAsia="Calibri" w:hAnsi="Calibri" w:cs="Calibri"/>
          <w:color w:val="000000" w:themeColor="text1"/>
        </w:rPr>
        <w:t xml:space="preserve">, instalable mediante el gestor de dependencias </w:t>
      </w:r>
      <w:r w:rsidRPr="3DB4A857">
        <w:rPr>
          <w:rFonts w:ascii="Consolas" w:eastAsia="Consolas" w:hAnsi="Consolas" w:cs="Consolas"/>
          <w:color w:val="000000" w:themeColor="text1"/>
        </w:rPr>
        <w:t>uv</w:t>
      </w:r>
      <w:r w:rsidRPr="3DB4A857">
        <w:rPr>
          <w:rFonts w:ascii="Calibri" w:eastAsia="Calibri" w:hAnsi="Calibri" w:cs="Calibri"/>
          <w:color w:val="000000" w:themeColor="text1"/>
        </w:rPr>
        <w:t>. La estructura del repositorio se organiza según se describe a continuación.</w:t>
      </w:r>
    </w:p>
    <w:p w14:paraId="6B28D544"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notebooks/</w:t>
      </w:r>
      <w:r w:rsidRPr="3DB4A857">
        <w:rPr>
          <w:rFonts w:ascii="Calibri" w:eastAsia="Calibri" w:hAnsi="Calibri" w:cs="Calibri"/>
          <w:color w:val="000000" w:themeColor="text1"/>
        </w:rPr>
        <w:t xml:space="preserve"> contiene doce </w:t>
      </w:r>
      <w:r w:rsidRPr="3DB4A857">
        <w:rPr>
          <w:rFonts w:ascii="Calibri" w:eastAsia="Calibri" w:hAnsi="Calibri" w:cs="Calibri"/>
          <w:i/>
          <w:iCs/>
          <w:color w:val="000000" w:themeColor="text1"/>
        </w:rPr>
        <w:t>notebooks</w:t>
      </w:r>
      <w:r w:rsidRPr="3DB4A857">
        <w:rPr>
          <w:rFonts w:ascii="Calibri" w:eastAsia="Calibri" w:hAnsi="Calibri" w:cs="Calibri"/>
          <w:color w:val="000000" w:themeColor="text1"/>
        </w:rPr>
        <w:t xml:space="preserve"> de Jupyter ejecutables en orden numérico:</w:t>
      </w:r>
    </w:p>
    <w:p w14:paraId="188A8026"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00_setup_</w:t>
      </w:r>
      <w:proofErr w:type="gramStart"/>
      <w:r w:rsidRPr="3DB4A857">
        <w:rPr>
          <w:rFonts w:ascii="Consolas" w:eastAsia="Consolas" w:hAnsi="Consolas" w:cs="Consolas"/>
          <w:color w:val="000000" w:themeColor="text1"/>
        </w:rPr>
        <w:t>entorno.ipynb</w:t>
      </w:r>
      <w:proofErr w:type="gramEnd"/>
      <w:r w:rsidRPr="3DB4A857">
        <w:rPr>
          <w:rFonts w:ascii="Calibri" w:eastAsia="Calibri" w:hAnsi="Calibri" w:cs="Calibri"/>
          <w:color w:val="000000" w:themeColor="text1"/>
        </w:rPr>
        <w:t>, configuración y validación del entorno local (Python 3.11, PyTorch con aceleración MPS, librerías centrales) y prueba de inferencia zero-shot del modelo multilingüe utilizado como base.</w:t>
      </w:r>
    </w:p>
    <w:p w14:paraId="1463019B"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01_eda_recursos_</w:t>
      </w:r>
      <w:proofErr w:type="gramStart"/>
      <w:r w:rsidRPr="3DB4A857">
        <w:rPr>
          <w:rFonts w:ascii="Consolas" w:eastAsia="Consolas" w:hAnsi="Consolas" w:cs="Consolas"/>
          <w:color w:val="000000" w:themeColor="text1"/>
        </w:rPr>
        <w:t>base.ipynb</w:t>
      </w:r>
      <w:proofErr w:type="gramEnd"/>
      <w:r w:rsidRPr="3DB4A857">
        <w:rPr>
          <w:rFonts w:ascii="Calibri" w:eastAsia="Calibri" w:hAnsi="Calibri" w:cs="Calibri"/>
          <w:color w:val="000000" w:themeColor="text1"/>
        </w:rPr>
        <w:t xml:space="preserve">, análisis exploratorio de los cinco recursos lingüísticos primarios y primer volcado del </w:t>
      </w:r>
      <w:r w:rsidRPr="3DB4A857">
        <w:rPr>
          <w:rFonts w:ascii="Calibri" w:eastAsia="Calibri" w:hAnsi="Calibri" w:cs="Calibri"/>
          <w:i/>
          <w:iCs/>
          <w:color w:val="000000" w:themeColor="text1"/>
        </w:rPr>
        <w:t>Diccionario Inga</w:t>
      </w:r>
      <w:r w:rsidRPr="3DB4A857">
        <w:rPr>
          <w:rFonts w:ascii="Calibri" w:eastAsia="Calibri" w:hAnsi="Calibri" w:cs="Calibri"/>
          <w:color w:val="000000" w:themeColor="text1"/>
        </w:rPr>
        <w:t>.</w:t>
      </w:r>
    </w:p>
    <w:p w14:paraId="35415BF2"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02_extraccion_corpus_</w:t>
      </w:r>
      <w:proofErr w:type="gramStart"/>
      <w:r w:rsidRPr="3DB4A857">
        <w:rPr>
          <w:rFonts w:ascii="Consolas" w:eastAsia="Consolas" w:hAnsi="Consolas" w:cs="Consolas"/>
          <w:color w:val="000000" w:themeColor="text1"/>
        </w:rPr>
        <w:t>NT.ipynb</w:t>
      </w:r>
      <w:proofErr w:type="gramEnd"/>
      <w:r w:rsidRPr="3DB4A857">
        <w:rPr>
          <w:rFonts w:ascii="Calibri" w:eastAsia="Calibri" w:hAnsi="Calibri" w:cs="Calibri"/>
          <w:color w:val="000000" w:themeColor="text1"/>
        </w:rPr>
        <w:t xml:space="preserve">, extracción heurística inicial del Nuevo Testamento en Inga y de las narrativas </w:t>
      </w:r>
      <w:r w:rsidRPr="3DB4A857">
        <w:rPr>
          <w:rFonts w:ascii="Calibri" w:eastAsia="Calibri" w:hAnsi="Calibri" w:cs="Calibri"/>
          <w:i/>
          <w:iCs/>
          <w:color w:val="000000" w:themeColor="text1"/>
        </w:rPr>
        <w:t>Antihua Pacay</w:t>
      </w:r>
      <w:r w:rsidRPr="3DB4A857">
        <w:rPr>
          <w:rFonts w:ascii="Calibri" w:eastAsia="Calibri" w:hAnsi="Calibri" w:cs="Calibri"/>
          <w:color w:val="000000" w:themeColor="text1"/>
        </w:rPr>
        <w:t>.</w:t>
      </w:r>
    </w:p>
    <w:p w14:paraId="27711514"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03_extraccion_NT_inga_</w:t>
      </w:r>
      <w:proofErr w:type="gramStart"/>
      <w:r w:rsidRPr="3DB4A857">
        <w:rPr>
          <w:rFonts w:ascii="Consolas" w:eastAsia="Consolas" w:hAnsi="Consolas" w:cs="Consolas"/>
          <w:color w:val="000000" w:themeColor="text1"/>
        </w:rPr>
        <w:t>estructurada.ipynb</w:t>
      </w:r>
      <w:proofErr w:type="gramEnd"/>
      <w:r w:rsidRPr="3DB4A857">
        <w:rPr>
          <w:rFonts w:ascii="Calibri" w:eastAsia="Calibri" w:hAnsi="Calibri" w:cs="Calibri"/>
          <w:color w:val="000000" w:themeColor="text1"/>
        </w:rPr>
        <w:t>, parser estructurado del NT Inga que recupera 6.083 versículos únicos con tupla canónica (libro, capítulo, versículo).</w:t>
      </w:r>
    </w:p>
    <w:p w14:paraId="384262A7"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04_extraccion_NT_rv1909.ipynb</w:t>
      </w:r>
      <w:r w:rsidRPr="3DB4A857">
        <w:rPr>
          <w:rFonts w:ascii="Calibri" w:eastAsia="Calibri" w:hAnsi="Calibri" w:cs="Calibri"/>
          <w:color w:val="000000" w:themeColor="text1"/>
        </w:rPr>
        <w:t>, parser de los 27 archivos USFM del NT Reina-Valera 1909 con limpieza de marcado anotativo.</w:t>
      </w:r>
    </w:p>
    <w:p w14:paraId="65CF77F5"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05_alineacion_</w:t>
      </w:r>
      <w:proofErr w:type="gramStart"/>
      <w:r w:rsidRPr="3DB4A857">
        <w:rPr>
          <w:rFonts w:ascii="Consolas" w:eastAsia="Consolas" w:hAnsi="Consolas" w:cs="Consolas"/>
          <w:color w:val="000000" w:themeColor="text1"/>
        </w:rPr>
        <w:t>NT.ipynb</w:t>
      </w:r>
      <w:proofErr w:type="gramEnd"/>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inner join</w:t>
      </w:r>
      <w:r w:rsidRPr="3DB4A857">
        <w:rPr>
          <w:rFonts w:ascii="Calibri" w:eastAsia="Calibri" w:hAnsi="Calibri" w:cs="Calibri"/>
          <w:color w:val="000000" w:themeColor="text1"/>
        </w:rPr>
        <w:t xml:space="preserve"> canónico entre las dos versiones del NT con filtros de calidad, resultado: 5.589 pares paralelos.</w:t>
      </w:r>
    </w:p>
    <w:p w14:paraId="6339E34B"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06_antihua_pacay_</w:t>
      </w:r>
      <w:proofErr w:type="gramStart"/>
      <w:r w:rsidRPr="3DB4A857">
        <w:rPr>
          <w:rFonts w:ascii="Consolas" w:eastAsia="Consolas" w:hAnsi="Consolas" w:cs="Consolas"/>
          <w:color w:val="000000" w:themeColor="text1"/>
        </w:rPr>
        <w:t>alineado.ipynb</w:t>
      </w:r>
      <w:proofErr w:type="gramEnd"/>
      <w:r w:rsidRPr="3DB4A857">
        <w:rPr>
          <w:rFonts w:ascii="Calibri" w:eastAsia="Calibri" w:hAnsi="Calibri" w:cs="Calibri"/>
          <w:color w:val="000000" w:themeColor="text1"/>
        </w:rPr>
        <w:t>, alineación exploratoria de Antihua Pacay (no incorporada al corpus de entrenamiento por baja calidad de la alineación oracional sin alineador semántico).</w:t>
      </w:r>
    </w:p>
    <w:p w14:paraId="3ED1A6A9"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lastRenderedPageBreak/>
        <w:t>07_corpus_</w:t>
      </w:r>
      <w:proofErr w:type="gramStart"/>
      <w:r w:rsidRPr="3DB4A857">
        <w:rPr>
          <w:rFonts w:ascii="Consolas" w:eastAsia="Consolas" w:hAnsi="Consolas" w:cs="Consolas"/>
          <w:color w:val="000000" w:themeColor="text1"/>
        </w:rPr>
        <w:t>particiones.ipynb</w:t>
      </w:r>
      <w:proofErr w:type="gramEnd"/>
      <w:r w:rsidRPr="3DB4A857">
        <w:rPr>
          <w:rFonts w:ascii="Calibri" w:eastAsia="Calibri" w:hAnsi="Calibri" w:cs="Calibri"/>
          <w:color w:val="000000" w:themeColor="text1"/>
        </w:rPr>
        <w:t>, unificación, particiones train/val/test 80/10/10 con semilla 42 y generación de la Figura 8.</w:t>
      </w:r>
    </w:p>
    <w:p w14:paraId="0BF38940"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08_indexacion_</w:t>
      </w:r>
      <w:proofErr w:type="gramStart"/>
      <w:r w:rsidRPr="3DB4A857">
        <w:rPr>
          <w:rFonts w:ascii="Consolas" w:eastAsia="Consolas" w:hAnsi="Consolas" w:cs="Consolas"/>
          <w:color w:val="000000" w:themeColor="text1"/>
        </w:rPr>
        <w:t>vectorial.ipynb</w:t>
      </w:r>
      <w:proofErr w:type="gramEnd"/>
      <w:r w:rsidRPr="3DB4A857">
        <w:rPr>
          <w:rFonts w:ascii="Calibri" w:eastAsia="Calibri" w:hAnsi="Calibri" w:cs="Calibri"/>
          <w:color w:val="000000" w:themeColor="text1"/>
        </w:rPr>
        <w:t xml:space="preserve">, construcción de los cuatro índices LanceDB con embeddings </w:t>
      </w:r>
      <w:r w:rsidRPr="3DB4A857">
        <w:rPr>
          <w:rFonts w:ascii="Consolas" w:eastAsia="Consolas" w:hAnsi="Consolas" w:cs="Consolas"/>
          <w:color w:val="000000" w:themeColor="text1"/>
        </w:rPr>
        <w:t>gemini-embedding-001</w:t>
      </w:r>
      <w:r w:rsidRPr="3DB4A857">
        <w:rPr>
          <w:rFonts w:ascii="Calibri" w:eastAsia="Calibri" w:hAnsi="Calibri" w:cs="Calibri"/>
          <w:color w:val="000000" w:themeColor="text1"/>
        </w:rPr>
        <w:t>.</w:t>
      </w:r>
    </w:p>
    <w:p w14:paraId="18E5064A"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09_finetuning_</w:t>
      </w:r>
      <w:proofErr w:type="gramStart"/>
      <w:r w:rsidRPr="3DB4A857">
        <w:rPr>
          <w:rFonts w:ascii="Consolas" w:eastAsia="Consolas" w:hAnsi="Consolas" w:cs="Consolas"/>
          <w:color w:val="000000" w:themeColor="text1"/>
        </w:rPr>
        <w:t>lora.ipynb</w:t>
      </w:r>
      <w:proofErr w:type="gramEnd"/>
      <w:r w:rsidRPr="3DB4A857">
        <w:rPr>
          <w:rFonts w:ascii="Calibri" w:eastAsia="Calibri" w:hAnsi="Calibri" w:cs="Calibri"/>
          <w:color w:val="000000" w:themeColor="text1"/>
        </w:rPr>
        <w:t>, ajuste fino bidireccional de NLLB-200-distilled-600M mediante adaptadores LoRA.</w:t>
      </w:r>
    </w:p>
    <w:p w14:paraId="252EF48A"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10_medicion_nllb_</w:t>
      </w:r>
      <w:proofErr w:type="gramStart"/>
      <w:r w:rsidRPr="3DB4A857">
        <w:rPr>
          <w:rFonts w:ascii="Consolas" w:eastAsia="Consolas" w:hAnsi="Consolas" w:cs="Consolas"/>
          <w:color w:val="000000" w:themeColor="text1"/>
        </w:rPr>
        <w:t>configs.ipynb</w:t>
      </w:r>
      <w:proofErr w:type="gramEnd"/>
      <w:r w:rsidRPr="3DB4A857">
        <w:rPr>
          <w:rFonts w:ascii="Calibri" w:eastAsia="Calibri" w:hAnsi="Calibri" w:cs="Calibri"/>
          <w:color w:val="000000" w:themeColor="text1"/>
        </w:rPr>
        <w:t xml:space="preserve">, evaluación de las configuraciones A y B en ambas direcciones sobre 100 ejemplos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w:t>
      </w:r>
    </w:p>
    <w:p w14:paraId="156819B1"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11_medicion_llm_</w:t>
      </w:r>
      <w:proofErr w:type="gramStart"/>
      <w:r w:rsidRPr="3DB4A857">
        <w:rPr>
          <w:rFonts w:ascii="Consolas" w:eastAsia="Consolas" w:hAnsi="Consolas" w:cs="Consolas"/>
          <w:color w:val="000000" w:themeColor="text1"/>
        </w:rPr>
        <w:t>rag.ipynb</w:t>
      </w:r>
      <w:proofErr w:type="gramEnd"/>
      <w:r w:rsidRPr="3DB4A857">
        <w:rPr>
          <w:rFonts w:ascii="Calibri" w:eastAsia="Calibri" w:hAnsi="Calibri" w:cs="Calibri"/>
          <w:color w:val="000000" w:themeColor="text1"/>
        </w:rPr>
        <w:t>, evaluación de las configuraciones C, D y E con Claude Sonnet 4.6 y generación de la Figura 11.</w:t>
      </w:r>
    </w:p>
    <w:p w14:paraId="55AE60AF"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src/</w:t>
      </w:r>
      <w:r w:rsidRPr="3DB4A857">
        <w:rPr>
          <w:rFonts w:ascii="Calibri" w:eastAsia="Calibri" w:hAnsi="Calibri" w:cs="Calibri"/>
          <w:color w:val="000000" w:themeColor="text1"/>
        </w:rPr>
        <w:t xml:space="preserve"> contiene los módulos reutilizables del proyecto, organizados en tres subpaquetes:</w:t>
      </w:r>
    </w:p>
    <w:p w14:paraId="1DBFFB0F"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src/rag/</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embeddings.py</w:t>
      </w:r>
      <w:r w:rsidRPr="3DB4A857">
        <w:rPr>
          <w:rFonts w:ascii="Calibri" w:eastAsia="Calibri" w:hAnsi="Calibri" w:cs="Calibri"/>
          <w:color w:val="000000" w:themeColor="text1"/>
        </w:rPr>
        <w:t xml:space="preserve"> (wrapper de Gemini con throttling y reintento), </w:t>
      </w:r>
      <w:r w:rsidRPr="3DB4A857">
        <w:rPr>
          <w:rFonts w:ascii="Consolas" w:eastAsia="Consolas" w:hAnsi="Consolas" w:cs="Consolas"/>
          <w:color w:val="000000" w:themeColor="text1"/>
        </w:rPr>
        <w:t>indexes.py</w:t>
      </w:r>
      <w:r w:rsidRPr="3DB4A857">
        <w:rPr>
          <w:rFonts w:ascii="Calibri" w:eastAsia="Calibri" w:hAnsi="Calibri" w:cs="Calibri"/>
          <w:color w:val="000000" w:themeColor="text1"/>
        </w:rPr>
        <w:t xml:space="preserve"> (gestión de tablas LanceDB) y </w:t>
      </w:r>
      <w:r w:rsidRPr="3DB4A857">
        <w:rPr>
          <w:rFonts w:ascii="Consolas" w:eastAsia="Consolas" w:hAnsi="Consolas" w:cs="Consolas"/>
          <w:color w:val="000000" w:themeColor="text1"/>
        </w:rPr>
        <w:t>retriever.py</w:t>
      </w:r>
      <w:r w:rsidRPr="3DB4A857">
        <w:rPr>
          <w:rFonts w:ascii="Calibri" w:eastAsia="Calibri" w:hAnsi="Calibri" w:cs="Calibri"/>
          <w:color w:val="000000" w:themeColor="text1"/>
        </w:rPr>
        <w:t xml:space="preserve"> (API uniforme multi-índice).</w:t>
      </w:r>
    </w:p>
    <w:p w14:paraId="690F2DFC"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src/models/</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nllb_lora.py</w:t>
      </w:r>
      <w:r w:rsidRPr="3DB4A857">
        <w:rPr>
          <w:rFonts w:ascii="Calibri" w:eastAsia="Calibri" w:hAnsi="Calibri" w:cs="Calibri"/>
          <w:color w:val="000000" w:themeColor="text1"/>
        </w:rPr>
        <w:t xml:space="preserve"> (setup de NLLB y aplicación de LoRA) y </w:t>
      </w:r>
      <w:r w:rsidRPr="3DB4A857">
        <w:rPr>
          <w:rFonts w:ascii="Consolas" w:eastAsia="Consolas" w:hAnsi="Consolas" w:cs="Consolas"/>
          <w:color w:val="000000" w:themeColor="text1"/>
        </w:rPr>
        <w:t>claude_rag.py</w:t>
      </w:r>
      <w:r w:rsidRPr="3DB4A857">
        <w:rPr>
          <w:rFonts w:ascii="Calibri" w:eastAsia="Calibri" w:hAnsi="Calibri" w:cs="Calibri"/>
          <w:color w:val="000000" w:themeColor="text1"/>
        </w:rPr>
        <w:t xml:space="preserve"> (pipeline LLM con prompts estructurados por dirección).</w:t>
      </w:r>
    </w:p>
    <w:p w14:paraId="06641DF4"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src/eval/</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metrics.py</w:t>
      </w:r>
      <w:r w:rsidRPr="3DB4A857">
        <w:rPr>
          <w:rFonts w:ascii="Calibri" w:eastAsia="Calibri" w:hAnsi="Calibri" w:cs="Calibri"/>
          <w:color w:val="000000" w:themeColor="text1"/>
        </w:rPr>
        <w:t xml:space="preserve"> (wrappers de BLEU, chrF++ y BERTScore).</w:t>
      </w:r>
    </w:p>
    <w:p w14:paraId="49DDC15A"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datos/</w:t>
      </w:r>
      <w:r w:rsidRPr="3DB4A857">
        <w:rPr>
          <w:rFonts w:ascii="Calibri" w:eastAsia="Calibri" w:hAnsi="Calibri" w:cs="Calibri"/>
          <w:color w:val="000000" w:themeColor="text1"/>
        </w:rPr>
        <w:t xml:space="preserve"> contiene las salidas estructuradas y los corpus generados:</w:t>
      </w:r>
    </w:p>
    <w:p w14:paraId="5B4F7DE0"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datos/diccionario_inga.jsonl</w:t>
      </w:r>
      <w:r w:rsidRPr="3DB4A857">
        <w:rPr>
          <w:rFonts w:ascii="Calibri" w:eastAsia="Calibri" w:hAnsi="Calibri" w:cs="Calibri"/>
          <w:color w:val="000000" w:themeColor="text1"/>
        </w:rPr>
        <w:t>, 4.900 entradas léxicas con lema, categoría gramatical y glosa.</w:t>
      </w:r>
    </w:p>
    <w:p w14:paraId="139CCE99"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datos/nt_inga_estructurado.jsonl</w:t>
      </w:r>
      <w:r w:rsidRPr="3DB4A857">
        <w:rPr>
          <w:rFonts w:ascii="Calibri" w:eastAsia="Calibri" w:hAnsi="Calibri" w:cs="Calibri"/>
          <w:color w:val="000000" w:themeColor="text1"/>
        </w:rPr>
        <w:t xml:space="preserve"> y </w:t>
      </w:r>
      <w:r w:rsidRPr="3DB4A857">
        <w:rPr>
          <w:rFonts w:ascii="Consolas" w:eastAsia="Consolas" w:hAnsi="Consolas" w:cs="Consolas"/>
          <w:color w:val="000000" w:themeColor="text1"/>
        </w:rPr>
        <w:t>datos/nt_rv1909_estructurado.jsonl</w:t>
      </w:r>
      <w:r w:rsidRPr="3DB4A857">
        <w:rPr>
          <w:rFonts w:ascii="Calibri" w:eastAsia="Calibri" w:hAnsi="Calibri" w:cs="Calibri"/>
          <w:color w:val="000000" w:themeColor="text1"/>
        </w:rPr>
        <w:t>, salidas de los notebooks 03 y 04.</w:t>
      </w:r>
    </w:p>
    <w:p w14:paraId="01AE7D5B"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datos/nt_paralelo.jsonl</w:t>
      </w:r>
      <w:r w:rsidRPr="3DB4A857">
        <w:rPr>
          <w:rFonts w:ascii="Calibri" w:eastAsia="Calibri" w:hAnsi="Calibri" w:cs="Calibri"/>
          <w:color w:val="000000" w:themeColor="text1"/>
        </w:rPr>
        <w:t>, 5.589 pares paralelos resultantes de la alineación canónica.</w:t>
      </w:r>
    </w:p>
    <w:p w14:paraId="1E0BC143"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lastRenderedPageBreak/>
        <w:t>datos/antihua_pacay_alineado.jsonl</w:t>
      </w:r>
      <w:r w:rsidRPr="3DB4A857">
        <w:rPr>
          <w:rFonts w:ascii="Calibri" w:eastAsia="Calibri" w:hAnsi="Calibri" w:cs="Calibri"/>
          <w:color w:val="000000" w:themeColor="text1"/>
        </w:rPr>
        <w:t>, 86 pares exploratorios del Medio Putumayo.</w:t>
      </w:r>
    </w:p>
    <w:p w14:paraId="4401D978"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datos/corpus_paralelo.jsonl</w:t>
      </w:r>
      <w:r w:rsidRPr="3DB4A857">
        <w:rPr>
          <w:rFonts w:ascii="Calibri" w:eastAsia="Calibri" w:hAnsi="Calibri" w:cs="Calibri"/>
          <w:color w:val="000000" w:themeColor="text1"/>
        </w:rPr>
        <w:t>, corpus unificado.</w:t>
      </w:r>
    </w:p>
    <w:p w14:paraId="1600AEEE"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datos/splits/train.jsonl</w:t>
      </w:r>
      <w:r w:rsidRPr="3DB4A857">
        <w:rPr>
          <w:rFonts w:ascii="Calibri" w:eastAsia="Calibri" w:hAnsi="Calibri" w:cs="Calibri"/>
          <w:color w:val="000000" w:themeColor="text1"/>
        </w:rPr>
        <w:t xml:space="preserve">, </w:t>
      </w:r>
      <w:proofErr w:type="gramStart"/>
      <w:r w:rsidRPr="3DB4A857">
        <w:rPr>
          <w:rFonts w:ascii="Consolas" w:eastAsia="Consolas" w:hAnsi="Consolas" w:cs="Consolas"/>
          <w:color w:val="000000" w:themeColor="text1"/>
        </w:rPr>
        <w:t>val.jsonl</w:t>
      </w:r>
      <w:proofErr w:type="gramEnd"/>
      <w:r w:rsidRPr="3DB4A857">
        <w:rPr>
          <w:rFonts w:ascii="Calibri" w:eastAsia="Calibri" w:hAnsi="Calibri" w:cs="Calibri"/>
          <w:color w:val="000000" w:themeColor="text1"/>
        </w:rPr>
        <w:t xml:space="preserve">, </w:t>
      </w:r>
      <w:proofErr w:type="gramStart"/>
      <w:r w:rsidRPr="3DB4A857">
        <w:rPr>
          <w:rFonts w:ascii="Consolas" w:eastAsia="Consolas" w:hAnsi="Consolas" w:cs="Consolas"/>
          <w:color w:val="000000" w:themeColor="text1"/>
        </w:rPr>
        <w:t>test.jsonl</w:t>
      </w:r>
      <w:proofErr w:type="gramEnd"/>
      <w:r w:rsidRPr="3DB4A857">
        <w:rPr>
          <w:rFonts w:ascii="Calibri" w:eastAsia="Calibri" w:hAnsi="Calibri" w:cs="Calibri"/>
          <w:color w:val="000000" w:themeColor="text1"/>
        </w:rPr>
        <w:t>, particiones 80/10/10.</w:t>
      </w:r>
    </w:p>
    <w:p w14:paraId="3343AE3D"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datos/metricas_entrega2.json</w:t>
      </w:r>
      <w:r w:rsidRPr="3DB4A857">
        <w:rPr>
          <w:rFonts w:ascii="Calibri" w:eastAsia="Calibri" w:hAnsi="Calibri" w:cs="Calibri"/>
          <w:color w:val="000000" w:themeColor="text1"/>
        </w:rPr>
        <w:t>, métricas de las cinco configuraciones con Claude Opus 4.7 (reporte principal del Capítulo 4).</w:t>
      </w:r>
    </w:p>
    <w:p w14:paraId="46802277"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datos/metricas_entrega2_sonnet.json</w:t>
      </w:r>
      <w:r w:rsidRPr="3DB4A857">
        <w:rPr>
          <w:rFonts w:ascii="Calibri" w:eastAsia="Calibri" w:hAnsi="Calibri" w:cs="Calibri"/>
          <w:color w:val="000000" w:themeColor="text1"/>
        </w:rPr>
        <w:t>, métricas de las configuraciones C, D y E con Claude Sonnet 4.6 sobre el mismo conjunto de validación, utilizadas para la comparación intra-Claude de la Tabla 9.</w:t>
      </w:r>
    </w:p>
    <w:p w14:paraId="3CB713EF"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datos/predicciones_val_completo.jsonl</w:t>
      </w:r>
      <w:r w:rsidRPr="3DB4A857">
        <w:rPr>
          <w:rFonts w:ascii="Calibri" w:eastAsia="Calibri" w:hAnsi="Calibri" w:cs="Calibri"/>
          <w:color w:val="000000" w:themeColor="text1"/>
        </w:rPr>
        <w:t>, predicciones por configuración para inspección cualitativa.</w:t>
      </w:r>
    </w:p>
    <w:p w14:paraId="56849675"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datos/ocr/</w:t>
      </w:r>
      <w:r w:rsidRPr="3DB4A857">
        <w:rPr>
          <w:rFonts w:ascii="Calibri" w:eastAsia="Calibri" w:hAnsi="Calibri" w:cs="Calibri"/>
          <w:color w:val="000000" w:themeColor="text1"/>
        </w:rPr>
        <w:t xml:space="preserve">, fuentes OCR derivadas, con subcarpetas </w:t>
      </w:r>
      <w:r w:rsidRPr="3DB4A857">
        <w:rPr>
          <w:rFonts w:ascii="Consolas" w:eastAsia="Consolas" w:hAnsi="Consolas" w:cs="Consolas"/>
          <w:color w:val="000000" w:themeColor="text1"/>
        </w:rPr>
        <w:t>inga-kichwa/</w:t>
      </w:r>
      <w:r w:rsidRPr="3DB4A857">
        <w:rPr>
          <w:rFonts w:ascii="Calibri" w:eastAsia="Calibri" w:hAnsi="Calibri" w:cs="Calibri"/>
          <w:color w:val="000000" w:themeColor="text1"/>
        </w:rPr>
        <w:t xml:space="preserve"> (cinco fuentes primarias del Inga) y </w:t>
      </w:r>
      <w:r w:rsidRPr="3DB4A857">
        <w:rPr>
          <w:rFonts w:ascii="Consolas" w:eastAsia="Consolas" w:hAnsi="Consolas" w:cs="Consolas"/>
          <w:color w:val="000000" w:themeColor="text1"/>
        </w:rPr>
        <w:t>reina-valera-1909/</w:t>
      </w:r>
      <w:r w:rsidRPr="3DB4A857">
        <w:rPr>
          <w:rFonts w:ascii="Calibri" w:eastAsia="Calibri" w:hAnsi="Calibri" w:cs="Calibri"/>
          <w:color w:val="000000" w:themeColor="text1"/>
        </w:rPr>
        <w:t xml:space="preserve"> (27 archivos USFM del NT en español).</w:t>
      </w:r>
    </w:p>
    <w:p w14:paraId="378CF027"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bibliografia/</w:t>
      </w:r>
      <w:r w:rsidRPr="3DB4A857">
        <w:rPr>
          <w:rFonts w:ascii="Calibri" w:eastAsia="Calibri" w:hAnsi="Calibri" w:cs="Calibri"/>
          <w:color w:val="000000" w:themeColor="text1"/>
        </w:rPr>
        <w:t xml:space="preserve"> contiene la base bibliográfica verificada del proyecto (</w:t>
      </w:r>
      <w:r w:rsidRPr="3DB4A857">
        <w:rPr>
          <w:rFonts w:ascii="Consolas" w:eastAsia="Consolas" w:hAnsi="Consolas" w:cs="Consolas"/>
          <w:color w:val="000000" w:themeColor="text1"/>
        </w:rPr>
        <w:t>refs_verificadas.md</w:t>
      </w:r>
      <w:r w:rsidRPr="3DB4A857">
        <w:rPr>
          <w:rFonts w:ascii="Calibri" w:eastAsia="Calibri" w:hAnsi="Calibri" w:cs="Calibri"/>
          <w:color w:val="000000" w:themeColor="text1"/>
        </w:rPr>
        <w:t>), con identificadores estables asociados a cada entrada.</w:t>
      </w:r>
    </w:p>
    <w:p w14:paraId="34E5E65B"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entrega2/</w:t>
      </w:r>
      <w:r w:rsidRPr="3DB4A857">
        <w:rPr>
          <w:rFonts w:ascii="Calibri" w:eastAsia="Calibri" w:hAnsi="Calibri" w:cs="Calibri"/>
          <w:color w:val="000000" w:themeColor="text1"/>
        </w:rPr>
        <w:t xml:space="preserve"> contiene el documento maestro del trabajo y sus recursos gráficos asociados. El </w:t>
      </w:r>
      <w:r w:rsidRPr="3DB4A857">
        <w:rPr>
          <w:rFonts w:ascii="Calibri" w:eastAsia="Calibri" w:hAnsi="Calibri" w:cs="Calibri"/>
          <w:i/>
          <w:iCs/>
          <w:color w:val="000000" w:themeColor="text1"/>
        </w:rPr>
        <w:t>script</w:t>
      </w:r>
      <w:r w:rsidRPr="3DB4A857">
        <w:rPr>
          <w:rFonts w:ascii="Calibri" w:eastAsia="Calibri" w:hAnsi="Calibri" w:cs="Calibri"/>
          <w:color w:val="000000" w:themeColor="text1"/>
        </w:rPr>
        <w:t xml:space="preserve"> </w:t>
      </w:r>
      <w:r w:rsidRPr="3DB4A857">
        <w:rPr>
          <w:rFonts w:ascii="Consolas" w:eastAsia="Consolas" w:hAnsi="Consolas" w:cs="Consolas"/>
          <w:color w:val="000000" w:themeColor="text1"/>
        </w:rPr>
        <w:t>entrega2/build_docx_e2.py</w:t>
      </w:r>
      <w:r w:rsidRPr="3DB4A857">
        <w:rPr>
          <w:rFonts w:ascii="Calibri" w:eastAsia="Calibri" w:hAnsi="Calibri" w:cs="Calibri"/>
          <w:color w:val="000000" w:themeColor="text1"/>
        </w:rPr>
        <w:t xml:space="preserve"> genera bloques en formato Word a partir del Markdown maestro y la plantilla oficial UNIR, aplicando los estilos requeridos para captions APA y conservando los estilos de la plantilla.</w:t>
      </w:r>
    </w:p>
    <w:p w14:paraId="72C2F0E5" w14:textId="77777777" w:rsidR="3DB4A857" w:rsidRPr="00C43711" w:rsidRDefault="27F49E50">
      <w:pPr>
        <w:rPr>
          <w:rFonts w:ascii="Calibri" w:eastAsia="Calibri" w:hAnsi="Calibri" w:cs="Calibri"/>
          <w:color w:val="000000" w:themeColor="text1"/>
        </w:rPr>
      </w:pPr>
      <w:r w:rsidRPr="3DB4A857">
        <w:rPr>
          <w:rFonts w:ascii="Calibri" w:eastAsia="Calibri" w:hAnsi="Calibri" w:cs="Calibri"/>
          <w:b/>
          <w:bCs/>
          <w:color w:val="000000" w:themeColor="text1"/>
        </w:rPr>
        <w:t>Licenciamiento.</w:t>
      </w:r>
      <w:r w:rsidRPr="3DB4A857">
        <w:rPr>
          <w:rFonts w:ascii="Calibri" w:eastAsia="Calibri" w:hAnsi="Calibri" w:cs="Calibri"/>
          <w:color w:val="000000" w:themeColor="text1"/>
        </w:rPr>
        <w:t xml:space="preserve"> El código desarrollado específicamente para el TFM se publica bajo licencia MIT. Los datos derivados de fuentes externas heredan las licencias de sus respectivas fuentes primarias: el </w:t>
      </w:r>
      <w:r w:rsidRPr="3DB4A857">
        <w:rPr>
          <w:rFonts w:ascii="Calibri" w:eastAsia="Calibri" w:hAnsi="Calibri" w:cs="Calibri"/>
          <w:i/>
          <w:iCs/>
          <w:color w:val="000000" w:themeColor="text1"/>
        </w:rPr>
        <w:t>Nuevo Testamento en el idioma Inga de Colombia</w:t>
      </w:r>
      <w:r w:rsidRPr="3DB4A857">
        <w:rPr>
          <w:rFonts w:ascii="Calibri" w:eastAsia="Calibri" w:hAnsi="Calibri" w:cs="Calibri"/>
          <w:color w:val="000000" w:themeColor="text1"/>
        </w:rPr>
        <w:t xml:space="preserve"> se distribuye bajo Creative Commons Atribución-NoComercial-SinObraDerivada 3.0 (Wycliffe Bible Translators, 2012); las narrativas </w:t>
      </w:r>
      <w:r w:rsidRPr="3DB4A857">
        <w:rPr>
          <w:rFonts w:ascii="Calibri" w:eastAsia="Calibri" w:hAnsi="Calibri" w:cs="Calibri"/>
          <w:i/>
          <w:iCs/>
          <w:color w:val="000000" w:themeColor="text1"/>
        </w:rPr>
        <w:t>Antihua Pacay Gentecunapa Parlocuna</w:t>
      </w:r>
      <w:r w:rsidRPr="3DB4A857">
        <w:rPr>
          <w:rFonts w:ascii="Calibri" w:eastAsia="Calibri" w:hAnsi="Calibri" w:cs="Calibri"/>
          <w:color w:val="000000" w:themeColor="text1"/>
        </w:rPr>
        <w:t xml:space="preserve"> (Jamioy Yanangona de Peña, 1985) forman parte de los Archivos de Lengua y Cultura del SIL International, disponibles bajo términos de uso académico y de investigación; el NT Reina-Valera 1909 se distribuye en dominio público a través de eBible.org.</w:t>
      </w:r>
    </w:p>
    <w:sectPr w:rsidR="3DB4A857" w:rsidRPr="00C43711" w:rsidSect="004871CB">
      <w:headerReference w:type="default" r:id="rId24"/>
      <w:footerReference w:type="default" r:id="rId25"/>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E4B852" w14:textId="77777777" w:rsidR="0013691F" w:rsidRDefault="0013691F" w:rsidP="006403BD">
      <w:r>
        <w:separator/>
      </w:r>
    </w:p>
  </w:endnote>
  <w:endnote w:type="continuationSeparator" w:id="0">
    <w:p w14:paraId="49D48FFA" w14:textId="77777777" w:rsidR="0013691F" w:rsidRDefault="0013691F"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NewRomanPSMT">
    <w:altName w:val="MS Mincho"/>
    <w:panose1 w:val="020B0604020202020204"/>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Open Sans">
    <w:altName w:val="Calibri"/>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20"/>
      <w:gridCol w:w="3020"/>
      <w:gridCol w:w="3020"/>
    </w:tblGrid>
    <w:tr w:rsidR="3DB4A857" w14:paraId="4AA69383" w14:textId="77777777" w:rsidTr="3DB4A857">
      <w:trPr>
        <w:trHeight w:val="300"/>
      </w:trPr>
      <w:tc>
        <w:tcPr>
          <w:tcW w:w="3020" w:type="dxa"/>
        </w:tcPr>
        <w:p w14:paraId="71F6E777" w14:textId="77777777" w:rsidR="3DB4A857" w:rsidRDefault="3DB4A857" w:rsidP="3DB4A857">
          <w:pPr>
            <w:pStyle w:val="Header"/>
            <w:ind w:left="-115"/>
            <w:jc w:val="left"/>
          </w:pPr>
        </w:p>
      </w:tc>
      <w:tc>
        <w:tcPr>
          <w:tcW w:w="3020" w:type="dxa"/>
        </w:tcPr>
        <w:p w14:paraId="281AC6F4" w14:textId="77777777" w:rsidR="3DB4A857" w:rsidRDefault="3DB4A857" w:rsidP="3DB4A857">
          <w:pPr>
            <w:pStyle w:val="Header"/>
            <w:jc w:val="center"/>
          </w:pPr>
        </w:p>
      </w:tc>
      <w:tc>
        <w:tcPr>
          <w:tcW w:w="3020" w:type="dxa"/>
        </w:tcPr>
        <w:p w14:paraId="264F48BF" w14:textId="77777777" w:rsidR="3DB4A857" w:rsidRDefault="3DB4A857" w:rsidP="3DB4A857">
          <w:pPr>
            <w:pStyle w:val="Header"/>
            <w:ind w:right="-115"/>
            <w:jc w:val="right"/>
          </w:pPr>
        </w:p>
      </w:tc>
    </w:tr>
  </w:tbl>
  <w:p w14:paraId="7375F768" w14:textId="77777777" w:rsidR="3DB4A857" w:rsidRDefault="3DB4A857" w:rsidP="3DB4A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12E0DE" w14:textId="77777777" w:rsidR="0013691F" w:rsidRDefault="0013691F" w:rsidP="006403BD">
      <w:r>
        <w:separator/>
      </w:r>
    </w:p>
  </w:footnote>
  <w:footnote w:type="continuationSeparator" w:id="0">
    <w:p w14:paraId="59C63E47" w14:textId="77777777" w:rsidR="0013691F" w:rsidRDefault="0013691F"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4E55D6" w14:textId="77777777" w:rsidR="00316578" w:rsidRDefault="00316578" w:rsidP="00316578">
    <w:pPr>
      <w:pStyle w:val="Header"/>
      <w:spacing w:before="0" w:after="0" w:line="240" w:lineRule="auto"/>
      <w:jc w:val="right"/>
      <w:rPr>
        <w:rFonts w:asciiTheme="majorHAnsi" w:hAnsiTheme="majorHAnsi"/>
        <w:sz w:val="20"/>
      </w:rPr>
    </w:pPr>
    <w:r>
      <w:rPr>
        <w:rFonts w:asciiTheme="majorHAnsi" w:hAnsiTheme="majorHAnsi"/>
        <w:sz w:val="20"/>
      </w:rPr>
      <w:t>Daniel Alejandro Eslava</w:t>
    </w:r>
  </w:p>
  <w:p w14:paraId="5A3FEBFA" w14:textId="77777777" w:rsidR="00316578" w:rsidRPr="00ED1546" w:rsidRDefault="00316578" w:rsidP="00316578">
    <w:pPr>
      <w:pStyle w:val="Header"/>
      <w:spacing w:before="0" w:after="0" w:line="240" w:lineRule="auto"/>
      <w:jc w:val="right"/>
      <w:rPr>
        <w:rFonts w:asciiTheme="majorHAnsi" w:hAnsiTheme="majorHAnsi"/>
        <w:sz w:val="20"/>
      </w:rPr>
    </w:pPr>
    <w:r>
      <w:rPr>
        <w:rFonts w:asciiTheme="majorHAnsi" w:hAnsiTheme="majorHAnsi"/>
        <w:sz w:val="20"/>
      </w:rPr>
      <w:t>William De Jesús Santos</w:t>
    </w:r>
  </w:p>
  <w:p w14:paraId="614CAB9D" w14:textId="77777777" w:rsidR="00316578" w:rsidRPr="00316578" w:rsidRDefault="00316578" w:rsidP="00316578">
    <w:pPr>
      <w:pStyle w:val="Header"/>
      <w:spacing w:before="0" w:after="0" w:line="240" w:lineRule="auto"/>
      <w:jc w:val="right"/>
      <w:rPr>
        <w:rFonts w:asciiTheme="majorHAnsi" w:hAnsiTheme="majorHAnsi"/>
        <w:sz w:val="20"/>
      </w:rPr>
    </w:pPr>
    <w:r w:rsidRPr="00316578">
      <w:rPr>
        <w:rFonts w:asciiTheme="majorHAnsi" w:hAnsiTheme="majorHAnsi"/>
        <w:sz w:val="20"/>
      </w:rPr>
      <w:t>Diseño e implementación de un sistema comparativo de traducción automática Inga-español mediante fine-tuning de modelos multilingües y RAG sobre modelos de lenguaje de frontera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36DC81"/>
    <w:multiLevelType w:val="multilevel"/>
    <w:tmpl w:val="55400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40C4140"/>
    <w:multiLevelType w:val="hybridMultilevel"/>
    <w:tmpl w:val="4022E7FE"/>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856211E"/>
    <w:multiLevelType w:val="hybridMultilevel"/>
    <w:tmpl w:val="3452B888"/>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3D0B676D"/>
    <w:multiLevelType w:val="multilevel"/>
    <w:tmpl w:val="9AA419DA"/>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40525969"/>
    <w:multiLevelType w:val="hybridMultilevel"/>
    <w:tmpl w:val="8EEA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3B65B2"/>
    <w:multiLevelType w:val="multilevel"/>
    <w:tmpl w:val="6A3E34BC"/>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8961FA"/>
    <w:multiLevelType w:val="multilevel"/>
    <w:tmpl w:val="442A515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D1F18C3"/>
    <w:multiLevelType w:val="multilevel"/>
    <w:tmpl w:val="B37C3B20"/>
    <w:numStyleLink w:val="VietasUNIR"/>
  </w:abstractNum>
  <w:abstractNum w:abstractNumId="29"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5759916">
    <w:abstractNumId w:val="14"/>
  </w:num>
  <w:num w:numId="2" w16cid:durableId="1202014665">
    <w:abstractNumId w:val="5"/>
  </w:num>
  <w:num w:numId="3" w16cid:durableId="1649163976">
    <w:abstractNumId w:val="20"/>
  </w:num>
  <w:num w:numId="4" w16cid:durableId="1488549977">
    <w:abstractNumId w:val="25"/>
  </w:num>
  <w:num w:numId="5" w16cid:durableId="264460264">
    <w:abstractNumId w:val="10"/>
  </w:num>
  <w:num w:numId="6" w16cid:durableId="1251886130">
    <w:abstractNumId w:val="30"/>
  </w:num>
  <w:num w:numId="7" w16cid:durableId="1596016411">
    <w:abstractNumId w:val="16"/>
  </w:num>
  <w:num w:numId="8" w16cid:durableId="1561018935">
    <w:abstractNumId w:val="0"/>
  </w:num>
  <w:num w:numId="9" w16cid:durableId="1169096736">
    <w:abstractNumId w:val="4"/>
  </w:num>
  <w:num w:numId="10" w16cid:durableId="290479389">
    <w:abstractNumId w:val="18"/>
  </w:num>
  <w:num w:numId="11" w16cid:durableId="998194144">
    <w:abstractNumId w:val="17"/>
  </w:num>
  <w:num w:numId="12" w16cid:durableId="21059511">
    <w:abstractNumId w:val="12"/>
  </w:num>
  <w:num w:numId="13" w16cid:durableId="747843244">
    <w:abstractNumId w:val="26"/>
  </w:num>
  <w:num w:numId="14" w16cid:durableId="776297507">
    <w:abstractNumId w:val="22"/>
  </w:num>
  <w:num w:numId="15" w16cid:durableId="1406339807">
    <w:abstractNumId w:val="21"/>
  </w:num>
  <w:num w:numId="16" w16cid:durableId="1078792026">
    <w:abstractNumId w:val="9"/>
  </w:num>
  <w:num w:numId="17" w16cid:durableId="1648512269">
    <w:abstractNumId w:val="6"/>
  </w:num>
  <w:num w:numId="18" w16cid:durableId="1372072029">
    <w:abstractNumId w:val="13"/>
  </w:num>
  <w:num w:numId="19" w16cid:durableId="1569536944">
    <w:abstractNumId w:val="13"/>
    <w:lvlOverride w:ilvl="0">
      <w:startOverride w:val="1"/>
    </w:lvlOverride>
    <w:lvlOverride w:ilvl="1">
      <w:startOverride w:val="1"/>
    </w:lvlOverride>
    <w:lvlOverride w:ilvl="2">
      <w:startOverride w:val="1"/>
    </w:lvlOverride>
  </w:num>
  <w:num w:numId="20" w16cid:durableId="1560046017">
    <w:abstractNumId w:val="13"/>
  </w:num>
  <w:num w:numId="21" w16cid:durableId="1399480590">
    <w:abstractNumId w:val="31"/>
  </w:num>
  <w:num w:numId="22" w16cid:durableId="1793279753">
    <w:abstractNumId w:val="29"/>
  </w:num>
  <w:num w:numId="23" w16cid:durableId="1162426106">
    <w:abstractNumId w:val="33"/>
  </w:num>
  <w:num w:numId="24" w16cid:durableId="1092552639">
    <w:abstractNumId w:val="27"/>
  </w:num>
  <w:num w:numId="25" w16cid:durableId="1736735501">
    <w:abstractNumId w:val="3"/>
  </w:num>
  <w:num w:numId="26" w16cid:durableId="1006136419">
    <w:abstractNumId w:val="1"/>
  </w:num>
  <w:num w:numId="27" w16cid:durableId="507838896">
    <w:abstractNumId w:val="2"/>
  </w:num>
  <w:num w:numId="28" w16cid:durableId="1789814387">
    <w:abstractNumId w:val="19"/>
  </w:num>
  <w:num w:numId="29" w16cid:durableId="96470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42441644">
    <w:abstractNumId w:val="29"/>
  </w:num>
  <w:num w:numId="31" w16cid:durableId="1600941942">
    <w:abstractNumId w:val="29"/>
  </w:num>
  <w:num w:numId="32" w16cid:durableId="13327563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53482146">
    <w:abstractNumId w:val="29"/>
  </w:num>
  <w:num w:numId="34" w16cid:durableId="6958830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48228199">
    <w:abstractNumId w:val="29"/>
  </w:num>
  <w:num w:numId="36" w16cid:durableId="1499610836">
    <w:abstractNumId w:val="29"/>
  </w:num>
  <w:num w:numId="37" w16cid:durableId="646975774">
    <w:abstractNumId w:val="29"/>
  </w:num>
  <w:num w:numId="38" w16cid:durableId="466044123">
    <w:abstractNumId w:val="29"/>
  </w:num>
  <w:num w:numId="39" w16cid:durableId="2029869925">
    <w:abstractNumId w:val="29"/>
  </w:num>
  <w:num w:numId="40" w16cid:durableId="183322633">
    <w:abstractNumId w:val="29"/>
  </w:num>
  <w:num w:numId="41" w16cid:durableId="466049441">
    <w:abstractNumId w:val="29"/>
  </w:num>
  <w:num w:numId="42" w16cid:durableId="1899365851">
    <w:abstractNumId w:val="32"/>
  </w:num>
  <w:num w:numId="43" w16cid:durableId="1099250510">
    <w:abstractNumId w:val="8"/>
  </w:num>
  <w:num w:numId="44" w16cid:durableId="1678731548">
    <w:abstractNumId w:val="24"/>
  </w:num>
  <w:num w:numId="45" w16cid:durableId="1778334430">
    <w:abstractNumId w:val="23"/>
  </w:num>
  <w:num w:numId="46" w16cid:durableId="1579287125">
    <w:abstractNumId w:val="28"/>
  </w:num>
  <w:num w:numId="47" w16cid:durableId="220797417">
    <w:abstractNumId w:val="15"/>
  </w:num>
  <w:num w:numId="48" w16cid:durableId="1510288093">
    <w:abstractNumId w:val="7"/>
  </w:num>
  <w:num w:numId="49" w16cid:durableId="20633461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C0CD9"/>
    <w:rsid w:val="000D09A0"/>
    <w:rsid w:val="000D5E09"/>
    <w:rsid w:val="000E0CC7"/>
    <w:rsid w:val="000E4E28"/>
    <w:rsid w:val="000F0DE6"/>
    <w:rsid w:val="00103BEF"/>
    <w:rsid w:val="0013691F"/>
    <w:rsid w:val="001526D9"/>
    <w:rsid w:val="0016080C"/>
    <w:rsid w:val="00166012"/>
    <w:rsid w:val="00171619"/>
    <w:rsid w:val="0017435A"/>
    <w:rsid w:val="00176DFC"/>
    <w:rsid w:val="001834C3"/>
    <w:rsid w:val="001879A7"/>
    <w:rsid w:val="00190B84"/>
    <w:rsid w:val="00194057"/>
    <w:rsid w:val="001944D1"/>
    <w:rsid w:val="00196EF2"/>
    <w:rsid w:val="001B53F4"/>
    <w:rsid w:val="001B59CD"/>
    <w:rsid w:val="001C1B5D"/>
    <w:rsid w:val="001C2AB4"/>
    <w:rsid w:val="001C2FB3"/>
    <w:rsid w:val="001C4EA4"/>
    <w:rsid w:val="001D46C8"/>
    <w:rsid w:val="001D76E5"/>
    <w:rsid w:val="001E62CD"/>
    <w:rsid w:val="001F59B3"/>
    <w:rsid w:val="00201FDD"/>
    <w:rsid w:val="0020605D"/>
    <w:rsid w:val="00211EDC"/>
    <w:rsid w:val="00226D26"/>
    <w:rsid w:val="00233551"/>
    <w:rsid w:val="00235CE3"/>
    <w:rsid w:val="00243A8B"/>
    <w:rsid w:val="00244EAD"/>
    <w:rsid w:val="0025047A"/>
    <w:rsid w:val="00252BBA"/>
    <w:rsid w:val="00266CBA"/>
    <w:rsid w:val="002904CE"/>
    <w:rsid w:val="002B3E99"/>
    <w:rsid w:val="002B40D3"/>
    <w:rsid w:val="002E7D6F"/>
    <w:rsid w:val="002F086E"/>
    <w:rsid w:val="003068AE"/>
    <w:rsid w:val="00316578"/>
    <w:rsid w:val="00321062"/>
    <w:rsid w:val="003233AB"/>
    <w:rsid w:val="00327D49"/>
    <w:rsid w:val="00336DDD"/>
    <w:rsid w:val="00336EA6"/>
    <w:rsid w:val="0034192C"/>
    <w:rsid w:val="00350B2E"/>
    <w:rsid w:val="0035422F"/>
    <w:rsid w:val="00354D98"/>
    <w:rsid w:val="00364F35"/>
    <w:rsid w:val="0037087A"/>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AE5"/>
    <w:rsid w:val="00507BAD"/>
    <w:rsid w:val="00514164"/>
    <w:rsid w:val="00521A79"/>
    <w:rsid w:val="0053518B"/>
    <w:rsid w:val="00535F70"/>
    <w:rsid w:val="005370DA"/>
    <w:rsid w:val="00556E52"/>
    <w:rsid w:val="00596B3C"/>
    <w:rsid w:val="0059770D"/>
    <w:rsid w:val="005A1CF6"/>
    <w:rsid w:val="005A2B04"/>
    <w:rsid w:val="005B3AB6"/>
    <w:rsid w:val="005C420C"/>
    <w:rsid w:val="005D4C0B"/>
    <w:rsid w:val="005D549B"/>
    <w:rsid w:val="005E4874"/>
    <w:rsid w:val="005E627C"/>
    <w:rsid w:val="005F110C"/>
    <w:rsid w:val="006056D2"/>
    <w:rsid w:val="00615464"/>
    <w:rsid w:val="006210A0"/>
    <w:rsid w:val="006311F9"/>
    <w:rsid w:val="00636E0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52CF"/>
    <w:rsid w:val="007077DF"/>
    <w:rsid w:val="00711904"/>
    <w:rsid w:val="00727AE8"/>
    <w:rsid w:val="00750978"/>
    <w:rsid w:val="00751A0E"/>
    <w:rsid w:val="00771DE1"/>
    <w:rsid w:val="00781C51"/>
    <w:rsid w:val="00783DCC"/>
    <w:rsid w:val="00793FDB"/>
    <w:rsid w:val="00795820"/>
    <w:rsid w:val="00795A39"/>
    <w:rsid w:val="007B76BF"/>
    <w:rsid w:val="007E0007"/>
    <w:rsid w:val="007E04F8"/>
    <w:rsid w:val="007E0C1A"/>
    <w:rsid w:val="007E7C6C"/>
    <w:rsid w:val="007F0D01"/>
    <w:rsid w:val="00811669"/>
    <w:rsid w:val="00821D63"/>
    <w:rsid w:val="00834548"/>
    <w:rsid w:val="008414E8"/>
    <w:rsid w:val="00853F7B"/>
    <w:rsid w:val="008544B8"/>
    <w:rsid w:val="00856DFC"/>
    <w:rsid w:val="008607A8"/>
    <w:rsid w:val="00863C43"/>
    <w:rsid w:val="00877054"/>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1331B"/>
    <w:rsid w:val="00A365F1"/>
    <w:rsid w:val="00A416DD"/>
    <w:rsid w:val="00A616E4"/>
    <w:rsid w:val="00A725E6"/>
    <w:rsid w:val="00A75783"/>
    <w:rsid w:val="00A83514"/>
    <w:rsid w:val="00A976F0"/>
    <w:rsid w:val="00AC1FF0"/>
    <w:rsid w:val="00AE532C"/>
    <w:rsid w:val="00B026E1"/>
    <w:rsid w:val="00B04626"/>
    <w:rsid w:val="00B077AF"/>
    <w:rsid w:val="00B10175"/>
    <w:rsid w:val="00B1357C"/>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3711"/>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2B4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47690"/>
    <w:rsid w:val="00E56DFE"/>
    <w:rsid w:val="00E62AD5"/>
    <w:rsid w:val="00E65836"/>
    <w:rsid w:val="00E769EB"/>
    <w:rsid w:val="00E76BE8"/>
    <w:rsid w:val="00E76D35"/>
    <w:rsid w:val="00E87B75"/>
    <w:rsid w:val="00E94CF7"/>
    <w:rsid w:val="00EA4786"/>
    <w:rsid w:val="00EA6976"/>
    <w:rsid w:val="00EA710F"/>
    <w:rsid w:val="00EC4EA9"/>
    <w:rsid w:val="00EC62F6"/>
    <w:rsid w:val="00EC771B"/>
    <w:rsid w:val="00ED04BC"/>
    <w:rsid w:val="00ED122C"/>
    <w:rsid w:val="00ED1546"/>
    <w:rsid w:val="00ED3731"/>
    <w:rsid w:val="00EF14BC"/>
    <w:rsid w:val="00F06610"/>
    <w:rsid w:val="00F249DB"/>
    <w:rsid w:val="00F252A7"/>
    <w:rsid w:val="00F30F01"/>
    <w:rsid w:val="00F31343"/>
    <w:rsid w:val="00F519E5"/>
    <w:rsid w:val="00F55627"/>
    <w:rsid w:val="00F77FBA"/>
    <w:rsid w:val="00F85354"/>
    <w:rsid w:val="00F96AAD"/>
    <w:rsid w:val="00FA0670"/>
    <w:rsid w:val="00FA21E3"/>
    <w:rsid w:val="00FA3C4A"/>
    <w:rsid w:val="00FA4A4E"/>
    <w:rsid w:val="00FA7395"/>
    <w:rsid w:val="00FA7727"/>
    <w:rsid w:val="00FC3D7F"/>
    <w:rsid w:val="00FC4A7B"/>
    <w:rsid w:val="00FD731D"/>
    <w:rsid w:val="00FE29CC"/>
    <w:rsid w:val="00FE43BC"/>
    <w:rsid w:val="01AF08F2"/>
    <w:rsid w:val="049C66FE"/>
    <w:rsid w:val="04B1542C"/>
    <w:rsid w:val="0FE09703"/>
    <w:rsid w:val="1285F934"/>
    <w:rsid w:val="144CAD69"/>
    <w:rsid w:val="1552F144"/>
    <w:rsid w:val="15665957"/>
    <w:rsid w:val="1E20D3F2"/>
    <w:rsid w:val="21A8DC2F"/>
    <w:rsid w:val="27F49E50"/>
    <w:rsid w:val="2D1A7CF9"/>
    <w:rsid w:val="33FFF5B5"/>
    <w:rsid w:val="371BB32B"/>
    <w:rsid w:val="37EDE983"/>
    <w:rsid w:val="384FA2C3"/>
    <w:rsid w:val="38EB422D"/>
    <w:rsid w:val="3AE6C06C"/>
    <w:rsid w:val="3C6B4EBA"/>
    <w:rsid w:val="3DB4A857"/>
    <w:rsid w:val="3DE66B89"/>
    <w:rsid w:val="481981B8"/>
    <w:rsid w:val="4939EB1B"/>
    <w:rsid w:val="4B846A25"/>
    <w:rsid w:val="4BF867ED"/>
    <w:rsid w:val="4E9C6815"/>
    <w:rsid w:val="53FD6CFE"/>
    <w:rsid w:val="5560073D"/>
    <w:rsid w:val="5911A492"/>
    <w:rsid w:val="5F7BBDFD"/>
    <w:rsid w:val="6349BC47"/>
    <w:rsid w:val="66D44306"/>
    <w:rsid w:val="680F227E"/>
    <w:rsid w:val="6A3FA25A"/>
    <w:rsid w:val="6CD2A06A"/>
    <w:rsid w:val="72ED4913"/>
    <w:rsid w:val="7720BCD1"/>
    <w:rsid w:val="7CC8C7E5"/>
    <w:rsid w:val="7F1874F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7FBD2"/>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22"/>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22"/>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22"/>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22"/>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2"/>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2"/>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2"/>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2"/>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2"/>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qFormat/>
    <w:rsid w:val="00914BA4"/>
    <w:pPr>
      <w:tabs>
        <w:tab w:val="right" w:leader="dot" w:pos="9060"/>
      </w:tabs>
    </w:pPr>
    <w:rPr>
      <w:rFonts w:cs="Arial"/>
      <w:noProof/>
    </w:rPr>
  </w:style>
  <w:style w:type="paragraph" w:styleId="TOC1">
    <w:name w:val="toc 1"/>
    <w:basedOn w:val="Normal"/>
    <w:next w:val="Normal"/>
    <w:autoRedefine/>
    <w:uiPriority w:val="39"/>
    <w:unhideWhenUsed/>
    <w:rsid w:val="00423E85"/>
    <w:pPr>
      <w:jc w:val="left"/>
    </w:pPr>
    <w:rPr>
      <w:rFonts w:cstheme="minorHAnsi"/>
      <w:b/>
      <w:bCs/>
      <w:caps/>
      <w:sz w:val="20"/>
      <w:szCs w:val="20"/>
    </w:rPr>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spacing w:before="0" w:after="0"/>
      <w:ind w:left="240"/>
      <w:jc w:val="left"/>
    </w:pPr>
    <w:rPr>
      <w:rFonts w:cstheme="minorHAnsi"/>
      <w:smallCaps/>
      <w:sz w:val="20"/>
      <w:szCs w:val="20"/>
    </w:rPr>
  </w:style>
  <w:style w:type="paragraph" w:styleId="TOC3">
    <w:name w:val="toc 3"/>
    <w:basedOn w:val="Normal"/>
    <w:next w:val="Normal"/>
    <w:autoRedefine/>
    <w:uiPriority w:val="39"/>
    <w:unhideWhenUsed/>
    <w:rsid w:val="001526D9"/>
    <w:pPr>
      <w:spacing w:before="0" w:after="0"/>
      <w:ind w:left="480"/>
      <w:jc w:val="left"/>
    </w:pPr>
    <w:rPr>
      <w:rFonts w:cstheme="minorHAnsi"/>
      <w:i/>
      <w:iCs/>
      <w:sz w:val="20"/>
      <w:szCs w:val="20"/>
    </w:r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spacing w:before="0" w:after="0"/>
      <w:ind w:left="720"/>
      <w:jc w:val="left"/>
    </w:pPr>
    <w:rPr>
      <w:rFonts w:cstheme="minorHAnsi"/>
      <w:sz w:val="18"/>
      <w:szCs w:val="18"/>
    </w:r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13"/>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spacing w:before="0" w:after="0"/>
      <w:ind w:left="1680"/>
      <w:jc w:val="left"/>
    </w:pPr>
    <w:rPr>
      <w:rFonts w:cstheme="minorHAnsi"/>
      <w:sz w:val="18"/>
      <w:szCs w:val="18"/>
    </w:rPr>
  </w:style>
  <w:style w:type="paragraph" w:styleId="TOC9">
    <w:name w:val="toc 9"/>
    <w:basedOn w:val="Normal"/>
    <w:next w:val="Normal"/>
    <w:autoRedefine/>
    <w:uiPriority w:val="39"/>
    <w:semiHidden/>
    <w:unhideWhenUsed/>
    <w:rsid w:val="00C10A65"/>
    <w:pPr>
      <w:spacing w:before="0" w:after="0"/>
      <w:ind w:left="1920"/>
      <w:jc w:val="left"/>
    </w:pPr>
    <w:rPr>
      <w:rFonts w:cstheme="minorHAnsi"/>
      <w:sz w:val="18"/>
      <w:szCs w:val="18"/>
    </w:r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7"/>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pPr>
      <w:spacing w:before="0" w:after="0"/>
      <w:ind w:left="480" w:hanging="480"/>
      <w:jc w:val="left"/>
    </w:pPr>
    <w:rPr>
      <w:rFonts w:cstheme="minorHAnsi"/>
      <w:sz w:val="20"/>
      <w:szCs w:val="20"/>
    </w:rPr>
  </w:style>
  <w:style w:type="table" w:styleId="GridTable4-Accent1">
    <w:name w:val="Grid Table 4 Accent 1"/>
    <w:basedOn w:val="Table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NoList"/>
    <w:uiPriority w:val="99"/>
    <w:rsid w:val="001F59B3"/>
    <w:pPr>
      <w:numPr>
        <w:numId w:val="45"/>
      </w:numPr>
    </w:pPr>
  </w:style>
  <w:style w:type="paragraph" w:styleId="Bibliography">
    <w:name w:val="Bibliography"/>
    <w:basedOn w:val="Normal"/>
    <w:next w:val="Normal"/>
    <w:uiPriority w:val="37"/>
    <w:semiHidden/>
    <w:unhideWhenUsed/>
    <w:rsid w:val="00F519E5"/>
  </w:style>
  <w:style w:type="paragraph" w:styleId="TOC5">
    <w:name w:val="toc 5"/>
    <w:basedOn w:val="Normal"/>
    <w:next w:val="Normal"/>
    <w:autoRedefine/>
    <w:uiPriority w:val="39"/>
    <w:semiHidden/>
    <w:unhideWhenUsed/>
    <w:rsid w:val="00507AE5"/>
    <w:pPr>
      <w:spacing w:before="0" w:after="0"/>
      <w:ind w:left="960"/>
      <w:jc w:val="left"/>
    </w:pPr>
    <w:rPr>
      <w:rFonts w:cstheme="minorHAnsi"/>
      <w:sz w:val="18"/>
      <w:szCs w:val="18"/>
    </w:rPr>
  </w:style>
  <w:style w:type="paragraph" w:styleId="TOC6">
    <w:name w:val="toc 6"/>
    <w:basedOn w:val="Normal"/>
    <w:next w:val="Normal"/>
    <w:autoRedefine/>
    <w:uiPriority w:val="39"/>
    <w:semiHidden/>
    <w:unhideWhenUsed/>
    <w:rsid w:val="00507AE5"/>
    <w:pPr>
      <w:spacing w:before="0" w:after="0"/>
      <w:ind w:left="1200"/>
      <w:jc w:val="left"/>
    </w:pPr>
    <w:rPr>
      <w:rFonts w:cstheme="minorHAnsi"/>
      <w:sz w:val="18"/>
      <w:szCs w:val="18"/>
    </w:rPr>
  </w:style>
  <w:style w:type="paragraph" w:styleId="TOC7">
    <w:name w:val="toc 7"/>
    <w:basedOn w:val="Normal"/>
    <w:next w:val="Normal"/>
    <w:autoRedefine/>
    <w:uiPriority w:val="39"/>
    <w:semiHidden/>
    <w:unhideWhenUsed/>
    <w:rsid w:val="00507AE5"/>
    <w:pPr>
      <w:spacing w:before="0" w:after="0"/>
      <w:ind w:left="1440"/>
      <w:jc w:val="left"/>
    </w:pPr>
    <w:rPr>
      <w:rFonts w:cstheme="minorHAnsi"/>
      <w:sz w:val="18"/>
      <w:szCs w:val="18"/>
    </w:rPr>
  </w:style>
  <w:style w:type="table" w:styleId="GridTable5Dark-Accent1">
    <w:name w:val="Grid Table 5 Dark Accent 1"/>
    <w:basedOn w:val="TableNormal"/>
    <w:uiPriority w:val="50"/>
    <w:rsid w:val="00A133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PlainTable5">
    <w:name w:val="Plain Table 5"/>
    <w:basedOn w:val="TableNormal"/>
    <w:uiPriority w:val="45"/>
    <w:rsid w:val="00A1331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Purakuna/tfm-inga-traduccion"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Props1.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22148</Words>
  <Characters>128019</Characters>
  <Application>Microsoft Office Word</Application>
  <DocSecurity>0</DocSecurity>
  <Lines>2510</Lines>
  <Paragraphs>950</Paragraphs>
  <ScaleCrop>false</ScaleCrop>
  <Company>Universidad Internacional de La Rioja                                                   Facultad de Educación</Company>
  <LinksUpToDate>false</LinksUpToDate>
  <CharactersWithSpaces>149217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William Santos</cp:lastModifiedBy>
  <cp:revision>4</cp:revision>
  <cp:lastPrinted>2026-06-24T17:46:00Z</cp:lastPrinted>
  <dcterms:created xsi:type="dcterms:W3CDTF">2026-06-24T17:46:00Z</dcterms:created>
  <dcterms:modified xsi:type="dcterms:W3CDTF">2026-06-24T18:11:00Z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