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End w:id="1"/>
    <w:bookmarkEnd w:id="11"/>
    <w:bookmarkEnd w:id="12"/>
    <w:bookmarkEnd w:id="13"/>
    <w:bookmarkEnd w:id="14"/>
    <w:bookmarkEnd w:id="15"/>
    <w:bookmarkEnd w:id="16"/>
    <w:bookmarkEnd w:id="17"/>
    <w:bookmarkEnd w:id="18"/>
    <w:bookmarkEnd w:id="19"/>
    <w:bookmarkEnd w:id="41"/>
    <w:p>
      <w:pPr>
        <w:pStyle w:val="Ttulo1sinnumerar"/>
      </w:pPr>
      <w:r>
        <w:rPr>
          <w:b w:val="0"/>
          <w:i w:val="0"/>
        </w:rPr>
        <w:t>Bloques de actualizacion del TFM</w:t>
      </w:r>
    </w:p>
    <w:p>
      <w:pPr/>
      <w:r>
        <w:rPr>
          <w:b w:val="0"/>
          <w:i w:val="0"/>
        </w:rPr>
        <w:t>Este documento contiene UNICAMENTE el contenido nuevo y las correcciones derivadas del feedback formal de la primera version del trabajo. No reproduce capitulos que ya estan correctos en el docx existente. Cada bloque va precedido por un separador con la instruccion exacta de donde insertarlo. Hay diez bloques en total.</w:t>
      </w:r>
    </w:p>
    <w:p>
      <w:pPr/>
    </w:p>
    <w:p>
      <w:pPr/>
      <w:r>
        <w:rPr>
          <w:b/>
          <w:i w:val="0"/>
        </w:rPr>
        <w:t>Mapeo bloques &lt;-&gt; feedback de la primera entrega:</w:t>
      </w:r>
    </w:p>
    <w:p>
      <w:pPr>
        <w:jc w:val="both"/>
      </w:pPr>
      <w:r>
        <w:t>- Bloques 1 y 2 (Resumen y Abstract): actualizan las cifras del corpus, el inventario de la base de conocimiento y el hallazgo experimental principal. Sustituyen las versiones previas.</w:t>
      </w:r>
    </w:p>
    <w:p>
      <w:pPr>
        <w:jc w:val="both"/>
      </w:pPr>
      <w:r>
        <w:t>- Bloques 3 y 4 (Cap 3.2 y Cap 3.3.2): reescriben los siete objetivos SMART y la descripcion de las fases en prosa fluida, atendiendo el indicio de IA generativa que el director marco sobre la estructura demasiado canonica de la version previa.</w:t>
      </w:r>
    </w:p>
    <w:p>
      <w:pPr>
        <w:jc w:val="both"/>
      </w:pPr>
      <w:r>
        <w:t>- Bloque 5 (Capitulo 4 completo): sustituye el Capitulo 4 en su totalidad. La estructura cambia respecto a la version previa: pasa de tres subsecciones (Fase 1, Fase 2, Fase 3 inicial) a siete subsecciones que cubren las Fases 1 a 6 con resultados experimentales reales. Las cifras del corpus, los indices RAG, el adaptador LoRA y la tabla comparativa de configuraciones son contenido nuevo.</w:t>
      </w:r>
    </w:p>
    <w:p>
      <w:pPr>
        <w:jc w:val="both"/>
      </w:pPr>
      <w:r>
        <w:t>- Bloque 6 (Capitulo 5): sustituye la estructura vacia heredada de la plantilla por el contenido completo: conclusiones, discusion y lineas futuras.</w:t>
      </w:r>
    </w:p>
    <w:p>
      <w:pPr>
        <w:jc w:val="both"/>
      </w:pPr>
      <w:r>
        <w:t>- Bloque 7 (Anexo A): sustituye el listado de tres notebooks por la estructura completa del repositorio actual (doce notebooks numerados, paquete src/ con tres subpaquetes, datos generados, licenciamiento ampliado).</w:t>
      </w:r>
    </w:p>
    <w:p>
      <w:pPr>
        <w:jc w:val="both"/>
      </w:pPr>
      <w:r>
        <w:t>- Bloque 8 (Referencia nueva): anade una entrada bibliografica que cita Finkelstein et al. (2026) sobre TranslateGemma. Va en orden alfabetico, inmediatamente despues de Ebrahimi et al. (2024).</w:t>
      </w:r>
    </w:p>
    <w:p>
      <w:pPr>
        <w:jc w:val="both"/>
      </w:pPr>
      <w:r>
        <w:t>- Bloque 9 (Ejemplo de pie de tabla y figura en formato APA correcto): modelo visual para aplicar al rotulado de TODAS las tablas y figuras del documento, incluidas las heredadas (Tabla 1 a 5, Figura 1 a 8). Atiende el fallo de formato senalado por el director: identificador en negrita en linea propia, titulo en cursiva debajo, eliminacion del literal "Figure"/"Table" en ingles.</w:t>
      </w:r>
    </w:p>
    <w:p>
      <w:pPr/>
    </w:p>
    <w:p>
      <w:pPr>
        <w:jc w:val="both"/>
      </w:pPr>
      <w:r>
        <w:t>Los capitulos 1 y 2 del docx existente no requieren cambios y no se reproducen aqui. La portada y el header del documento conservan los datos correctos de la version previa salvo la fecha, que debe actualizarse manualmente.</w:t>
      </w:r>
    </w:p>
    <w:p>
      <w:r>
        <w:br w:type="page"/>
      </w:r>
    </w:p>
    <w:p>
      <w:pPr/>
      <w:r>
        <w:rPr>
          <w:b w:val="0"/>
          <w:i w:val="0"/>
        </w:rPr>
        <w:t>======================================================================</w:t>
      </w:r>
    </w:p>
    <w:p>
      <w:pPr/>
      <w:r>
        <w:rPr>
          <w:b/>
          <w:i w:val="0"/>
        </w:rPr>
        <w:t>INSERTAR EN: Bloque 1 de 9. SUSTITUIR el contenido actual de la seccion "Resumen". Las cifras del corpus (5.641 pares), de los indices (4.900 lexicas, 605 gramaticales, 9.024 ejemplos) y el resultado experimental (17,89 BLEU) son nuevos respecto a la version previa.</w:t>
      </w:r>
    </w:p>
    <w:p>
      <w:pPr/>
      <w:r>
        <w:rPr>
          <w:b w:val="0"/>
          <w:i w:val="0"/>
        </w:rPr>
        <w:t>======================================================================</w:t>
      </w:r>
    </w:p>
    <w:p>
      <w:pPr/>
    </w:p>
    <w:p>
      <w:pPr>
        <w:pStyle w:val="Ttulo1sinnumerar"/>
      </w:pPr>
      <w:r>
        <w:rPr>
          <w:b w:val="0"/>
          <w:i w:val="0"/>
        </w:rPr>
        <w:t>Resumen</w:t>
      </w:r>
    </w:p>
    <w:p>
      <w:pPr>
        <w:jc w:val="both"/>
      </w:pPr>
      <w:r>
        <w:t>La lengua Inga, una variante quechua del departamento del Putumayo en Colombia, no dispone de herramientas digitales de traducción. Cerca de 18.000 personas la hablan. Este trabajo aborda esa brecha con un sistema comparativo y bidireccional Inga-español construido sobre dos paradigmas complementarios. El primero adapta el modelo de traducción multilingüe NLLB-200-distilled-600M al par Inga-español mediante adaptadores de bajo rango (LoRA), aprovechando que las lenguas quechuas emparentadas ya están presentes en el preentrenamiento del modelo. El segundo opera sobre el modelo de lenguaje de frontera Claude Sonnet 4.6, enriquecido con recuperación aumentada desde una base de conocimiento estructurada en cuatro índices vectoriales: léxico, gramatical y dos índices de ejemplos paralelos que cubren las dos direcciones de traducción.</w:t>
      </w:r>
    </w:p>
    <w:p>
      <w:pPr>
        <w:jc w:val="both"/>
      </w:pPr>
      <w:r>
        <w:t>El corpus paralelo desarrollado alcanza 5.641 pares verificados, generados mediante alineación canónica entre el Nuevo Testamento en Inga (Wycliffe) y la Reina-Valera 1909 en español, complementados con material jurídico de la Constitución Política de Colombia traducida al Inga por Tandioy Jansasoy y el CCELA de Uniandes. Los pares se distribuyen en particiones de entrenamiento, validación y prueba. La base de conocimiento operativa cubre 4.900 entradas léxicas, 605 bloques gramaticales y 9.024 ejemplos paralelos indexados con embeddings de Gemini sobre LanceDB. La evaluación comparativa de las cinco configuraciones experimentales en ambas direcciones identifica al pipeline LLM con recuperación aumentada como la aproximación con mejor desempeño, alcanzando 17,89 puntos BLEU en la dirección Inga-español y 10,95 en español-Inga sobre el conjunto de validación.</w:t>
      </w:r>
    </w:p>
    <w:p>
      <w:pPr>
        <w:jc w:val="both"/>
      </w:pPr>
      <w:r>
        <w:t>La contribución original del trabajo es tripartita. Primero, una comparación sistemática entre adaptación NMT y recuperación aumentada sobre un mismo par lingüístico de recursos extremadamente bajos. Segundo, un sistema bidireccional que cubre Inga-español y español-Inga con un único adaptador y una arquitectura RAG simétrica. Tercero, la liberación abierta de todos los recursos derivados bajo licencias compatibles con la redistribución a la comunidad Inga, en línea con los principios éticos sistematizados por la literatura reciente sobre MT para lenguas indígenas.</w:t>
      </w:r>
    </w:p>
    <w:p>
      <w:pPr>
        <w:jc w:val="both"/>
      </w:pPr>
      <w:r>
        <w:rPr>
          <w:b/>
        </w:rPr>
        <w:t>Palabras clave:</w:t>
      </w:r>
      <w:r>
        <w:t xml:space="preserve"> traducción automática, lenguas indígenas, Inga, transfer learning, recuperación aumentada de información</w:t>
      </w:r>
    </w:p>
    <w:p>
      <w:pPr>
        <w:jc w:val="both"/>
      </w:pPr>
      <w:r>
        <w:t>---</w:t>
      </w:r>
    </w:p>
    <w:p>
      <w:r>
        <w:br w:type="page"/>
      </w:r>
    </w:p>
    <w:p>
      <w:pPr/>
      <w:r>
        <w:rPr>
          <w:b w:val="0"/>
          <w:i w:val="0"/>
        </w:rPr>
        <w:t>======================================================================</w:t>
      </w:r>
    </w:p>
    <w:p>
      <w:pPr/>
      <w:r>
        <w:rPr>
          <w:b/>
          <w:i w:val="0"/>
        </w:rPr>
        <w:t>INSERTAR EN: Bloque 2 de 9. SUSTITUIR el contenido actual de la seccion "Abstract". Traduccion exacta del Resumen actualizado.</w:t>
      </w:r>
    </w:p>
    <w:p>
      <w:pPr/>
      <w:r>
        <w:rPr>
          <w:b w:val="0"/>
          <w:i w:val="0"/>
        </w:rPr>
        <w:t>======================================================================</w:t>
      </w:r>
    </w:p>
    <w:p>
      <w:pPr/>
    </w:p>
    <w:p>
      <w:pPr>
        <w:pStyle w:val="Ttulo1sinnumerar"/>
      </w:pPr>
      <w:r>
        <w:rPr>
          <w:b w:val="0"/>
          <w:i w:val="0"/>
        </w:rPr>
        <w:t>Abstract</w:t>
      </w:r>
    </w:p>
    <w:p>
      <w:pPr>
        <w:jc w:val="both"/>
      </w:pPr>
      <w:r>
        <w:t>The Inga language, a Quechua variant from the Putumayo region of Colombia, has no available digital translation tools. It is spoken by approximately 18,000 people. This work addresses that gap with a comparative bidirectional Inga-Spanish translation system built on two complementary paradigms. The first adapts the NLLB-200-distilled-600M multilingual translation model to the Inga-Spanish pair using low-rank adapters (LoRA), leveraging the fact that related Quechua languages are already present in the model's pretraining. The second runs on top of the Claude Sonnet 4.6 frontier language model, enriched with retrieval-augmented generation from a knowledge base structured into four vector indices: lexical, grammatical, and two parallel-example indices that cover both translation directions.</w:t>
      </w:r>
    </w:p>
    <w:p>
      <w:pPr>
        <w:jc w:val="both"/>
      </w:pPr>
      <w:r>
        <w:t>The parallel corpus developed in this work reaches 5,641 verified pairs, generated through canonical alignment between the Inga New Testament (Wycliffe) and the Spanish Reina-Valera 1909, complemented with legal material from the Colombian Constitution translated into Inga by Tandioy Jansasoy and the CCELA at Universidad de los Andes. The pairs are distributed into training, validation, and test partitions. The operational knowledge base contains 4,900 lexical entries, 605 grammatical chunks, and 9,024 parallel examples indexed with Gemini embeddings on LanceDB. The comparative evaluation of the five experimental configurations across both directions identifies the LLM pipeline with retrieval-augmented generation as the best-performing approach, reaching 17.89 BLEU points in the Inga-Spanish direction and 10.95 in Spanish-Inga on the validation set.</w:t>
      </w:r>
    </w:p>
    <w:p>
      <w:pPr>
        <w:jc w:val="both"/>
      </w:pPr>
      <w:r>
        <w:t>The original contribution of this work is threefold. First, a systematic comparison between NMT adaptation and retrieval-augmented generation on the same extremely low-resource language pair. Second, a bidirectional system that covers both Inga-Spanish and Spanish-Inga with a single adapter and a symmetric RAG architecture. Third, the open release of all derived resources under licenses compatible with redistribution to the Inga community, in line with the ethical principles recently systematized in the literature on MT for indigenous languages.</w:t>
      </w:r>
    </w:p>
    <w:p>
      <w:pPr>
        <w:jc w:val="both"/>
      </w:pPr>
      <w:r>
        <w:rPr>
          <w:b/>
        </w:rPr>
        <w:t>Keywords:</w:t>
      </w:r>
      <w:r>
        <w:t xml:space="preserve"> machine translation, indigenous languages, Inga (Quechua), transfer learning, retrieval-augmented generation</w:t>
      </w:r>
    </w:p>
    <w:p>
      <w:pPr>
        <w:jc w:val="both"/>
      </w:pPr>
      <w:r>
        <w:t>---</w:t>
      </w:r>
    </w:p>
    <w:p>
      <w:r>
        <w:br w:type="page"/>
      </w:r>
    </w:p>
    <w:p>
      <w:pPr/>
      <w:r>
        <w:rPr>
          <w:b w:val="0"/>
          <w:i w:val="0"/>
        </w:rPr>
        <w:t>======================================================================</w:t>
      </w:r>
    </w:p>
    <w:p>
      <w:pPr/>
      <w:r>
        <w:rPr>
          <w:b/>
          <w:i w:val="0"/>
        </w:rPr>
        <w:t>INSERTAR EN: Bloque 3 de 9. SUSTITUIR el contenido actual de la seccion "3.2 Objetivos especificos". La nueva version presenta los siete objetivos como prosa fluida en lugar de una lista canonica de bullets con criterio SMART estampado al final de cada uno. Aborda el indicio de IA generativa senalado por el director.</w:t>
      </w:r>
    </w:p>
    <w:p>
      <w:pPr/>
      <w:r>
        <w:rPr>
          <w:b w:val="0"/>
          <w:i w:val="0"/>
        </w:rPr>
        <w:t>======================================================================</w:t>
      </w:r>
    </w:p>
    <w:p>
      <w:pPr/>
    </w:p>
    <w:p>
      <w:pPr>
        <w:pStyle w:val="Ttulo2"/>
      </w:pPr>
      <w:r>
        <w:rPr>
          <w:b w:val="0"/>
          <w:i w:val="0"/>
        </w:rPr>
        <w:t>3.2 Objetivos específicos</w:t>
      </w:r>
    </w:p>
    <w:p>
      <w:pPr>
        <w:jc w:val="both"/>
      </w:pPr>
      <w:r>
        <w:t>Del objetivo general se derivan siete objetivos operativos que ordenan el trabajo según las dependencias técnicas naturales del proyecto, desde la preparación del entorno hasta el despliegue de los modelos. Cada uno tiene asociado un criterio de cumplimiento verificable.</w:t>
      </w:r>
    </w:p>
    <w:p>
      <w:pPr>
        <w:jc w:val="both"/>
      </w:pPr>
      <w:r>
        <w:t>La primera tarea es preparar el entorno de cómputo local en hardware Apple Silicon, con las bibliotecas de procesamiento del lenguaje natural, la aceleración por GPU integrada y la infraestructura mínima de seguimiento de experimentos. El criterio operativo asociado es ejecutar con éxito una inferencia zero-shot de un modelo multilingüe preentrenado, lo que valida que el stack funciona extremo a extremo antes de comprometer tiempo en datos o entrenamiento.</w:t>
      </w:r>
    </w:p>
    <w:p>
      <w:pPr>
        <w:jc w:val="both"/>
      </w:pPr>
      <w:r>
        <w:t xml:space="preserve">A continuación viene la construcción del corpus paralelo. Las fuentes disponibles son escasas y heterogéneas: el Nuevo Testamento Inga publicado por Wycliffe, las narrativas orales recopiladas en </w:t>
      </w:r>
      <w:r>
        <w:rPr>
          <w:i/>
        </w:rPr>
        <w:t>Antihua Pacay</w:t>
      </w:r>
      <w:r>
        <w:t>, el diccionario Tandioy, la gramática pedagógica de Levinsohn y un apéndice morfosintáctico del proyecto Rosetta. El reto está en extraer, alinear, normalizar y particionar todo esto en conjuntos de entrenamiento, validación y prueba aprovechables. La meta mínima cuantitativa son 5.000 pares paralelos; la cobertura debe alcanzar las dos variantes dialectales del Inga, Alto y Medio Putumayo, aunque el balance entre ambas dependerá de la calidad efectiva de las fuentes de cada lado.</w:t>
      </w:r>
    </w:p>
    <w:p>
      <w:pPr>
        <w:jc w:val="both"/>
      </w:pPr>
      <w:r>
        <w:t>En paralelo se construye la base de conocimiento lingüístico que alimentará la línea experimental del modelo de lenguaje de frontera. Esta base se estructura deliberadamente en índices separados, no en un único índice mezclado, para que el sistema de recuperación pueda dirigir cada consulta al tipo de conocimiento relevante: el índice léxico para palabras del diccionario, el índice gramatical para reglas morfosintácticas, el índice de ejemplos para pares Inga-español similares semánticamente. Se considera cumplido cuando la base es consultable y cubre al menos 800 entradas léxicas, las reglas gramaticales principales del Inga y una muestra representativa del corpus paralelo.</w:t>
      </w:r>
    </w:p>
    <w:p>
      <w:pPr>
        <w:jc w:val="both"/>
      </w:pPr>
      <w:r>
        <w:t>El cuarto objetivo es la adaptación de un modelo de traducción multilingüe preentrenado al par Inga-español. La técnica elegida es ajuste fino eficiente en parámetros, que evita reentrenar el modelo completo y aprovecha las representaciones de las lenguas quechuas emparentadas que el modelo ya conoce de su preentrenamiento. La adaptación se considera lograda cuando supera, en el conjunto de prueba, la línea base zero-shot del mismo modelo base sin ajuste.</w:t>
      </w:r>
    </w:p>
    <w:p>
      <w:pPr>
        <w:jc w:val="both"/>
      </w:pPr>
      <w:r>
        <w:t xml:space="preserve">La quinta línea de trabajo implementa el pipeline alternativo: un modelo de lenguaje de frontera consume </w:t>
      </w:r>
      <w:r>
        <w:rPr>
          <w:i/>
        </w:rPr>
        <w:t>prompts</w:t>
      </w:r>
      <w:r>
        <w:t xml:space="preserve"> estructurados que se construyen dinámicamente recuperando contexto desde los tres índices de la base de conocimiento. El criterio de cumplimiento aquí es funcional más que cuantitativo: el pipeline debe integrar los tres índices, mantener tiempos de inferencia razonables en lote y producir traducciones consistentes en estructura.</w:t>
      </w:r>
    </w:p>
    <w:p>
      <w:pPr>
        <w:jc w:val="both"/>
      </w:pPr>
      <w:r>
        <w:t>Una vez ambas líneas están operativas, se ejecuta la evaluación comparativa con métricas automáticas estándar (BLEU, chrF++ y BERTScore) y validación cualitativa con hablantes nativos en las dimensiones de adecuación semántica, fluidez gramatical y naturalidad cultural. El informe final debe cubrir al menos cinco configuraciones experimentales con validación humana sobre una muestra representativa de traducciones.</w:t>
      </w:r>
    </w:p>
    <w:p>
      <w:pPr>
        <w:jc w:val="both"/>
      </w:pPr>
      <w:r>
        <w:t>El cierre del proyecto consiste en empaquetar el sistema resultante como una aplicación local reproducible y documentar el marco metodológico de manera que sea reutilizable por otras lenguas indígenas en situación análoga. El entregable concreto es un repositorio público con instrucciones de despliegue y un documento metodológico que explicite las decisiones tomadas en cada fase.</w:t>
      </w:r>
    </w:p>
    <w:p>
      <w:r>
        <w:br w:type="page"/>
      </w:r>
    </w:p>
    <w:p>
      <w:pPr/>
      <w:r>
        <w:rPr>
          <w:b w:val="0"/>
          <w:i w:val="0"/>
        </w:rPr>
        <w:t>======================================================================</w:t>
      </w:r>
    </w:p>
    <w:p>
      <w:pPr/>
      <w:r>
        <w:rPr>
          <w:b/>
          <w:i w:val="0"/>
        </w:rPr>
        <w:t>INSERTAR EN: Bloque 4 de 9. SUSTITUIR el contenido actual de la seccion "3.3.2 Fases del proyecto". La nueva version rompe el patron repetitivo "La Fase N (X) ejecuta Y" variando los inicios de parrafo y las longitudes.</w:t>
      </w:r>
    </w:p>
    <w:p>
      <w:pPr/>
      <w:r>
        <w:rPr>
          <w:b w:val="0"/>
          <w:i w:val="0"/>
        </w:rPr>
        <w:t>======================================================================</w:t>
      </w:r>
    </w:p>
    <w:p>
      <w:pPr/>
    </w:p>
    <w:p>
      <w:pPr>
        <w:pStyle w:val="Ttulo3"/>
      </w:pPr>
      <w:r>
        <w:rPr>
          <w:b w:val="0"/>
          <w:i w:val="0"/>
        </w:rPr>
        <w:t>3.3.2 Fases del proyecto</w:t>
      </w:r>
    </w:p>
    <w:p>
      <w:pPr>
        <w:jc w:val="both"/>
      </w:pPr>
      <w:r>
        <w:t>El trabajo se organiza en siete fases con una correspondencia uno a uno con los objetivos específicos enunciados en la sección 3.2. El detalle pedagógico y técnico de cada fase se resume a continuación; la ejecución concreta se documenta en el Capítulo 4.</w:t>
      </w:r>
    </w:p>
    <w:p>
      <w:pPr>
        <w:jc w:val="both"/>
      </w:pPr>
      <w:r>
        <w:t>La fase inicial es la configuración del entorno de cómputo: instalación de las bibliotecas de NLP (</w:t>
      </w:r>
      <w:r>
        <w:rPr>
          <w:i/>
        </w:rPr>
        <w:t>Transformers</w:t>
      </w:r>
      <w:r>
        <w:t xml:space="preserve">, </w:t>
      </w:r>
      <w:r>
        <w:rPr>
          <w:i/>
        </w:rPr>
        <w:t>PEFT</w:t>
      </w:r>
      <w:r>
        <w:t xml:space="preserve">, </w:t>
      </w:r>
      <w:r>
        <w:rPr>
          <w:i/>
        </w:rPr>
        <w:t>Accelerate</w:t>
      </w:r>
      <w:r>
        <w:t xml:space="preserve">, </w:t>
      </w:r>
      <w:r>
        <w:rPr>
          <w:i/>
        </w:rPr>
        <w:t>sentence-transformers</w:t>
      </w:r>
      <w:r>
        <w:t xml:space="preserve">, </w:t>
      </w:r>
      <w:r>
        <w:rPr>
          <w:i/>
        </w:rPr>
        <w:t>sacrebleu</w:t>
      </w:r>
      <w:r>
        <w:t xml:space="preserve">, </w:t>
      </w:r>
      <w:r>
        <w:rPr>
          <w:i/>
        </w:rPr>
        <w:t>datasets</w:t>
      </w:r>
      <w:r>
        <w:t>) sobre Apple Silicon y validación de la aceleración MPS por hardware. Se cierra con una inferencia zero-shot de prueba sobre un modelo multilingüe preentrenado, que sirve como prueba de extremo a extremo de que el stack funciona antes de comprometer tiempo en datos o entrenamiento.</w:t>
      </w:r>
    </w:p>
    <w:p>
      <w:pPr>
        <w:jc w:val="both"/>
      </w:pPr>
      <w:r>
        <w:t>Construir el corpus paralelo es la segunda fase y la más laboriosa de las preparatorias. Se aplica un pipeline de segmentación, detección de idioma por bloque, alineación canónica o heurística según la fuente, normalización ortográfica y partición en conjuntos de entrenamiento, validación y prueba. Las cinco fuentes primarias del Inga descritas en los capítulos 2 y 4 entran en este pipeline, cada una con peculiaridades de formato que obligan a parsers específicos. El proceso completo se ilustra en la Figura 4.</w:t>
      </w:r>
    </w:p>
    <w:p>
      <w:pPr>
        <w:pStyle w:val="Descripcin"/>
        <w:jc w:val="left"/>
      </w:pPr>
      <w:r>
        <w:rPr>
          <w:b/>
        </w:rPr>
        <w:t>Figura 4</w:t>
      </w:r>
    </w:p>
    <w:p>
      <w:pPr>
        <w:jc w:val="left"/>
      </w:pPr>
      <w:r>
        <w:rPr>
          <w:i/>
        </w:rPr>
        <w:t>Pipeline de construcción del corpus paralelo Inga-Español</w:t>
      </w:r>
    </w:p>
    <w:p>
      <w:pPr/>
      <w:r>
        <w:rPr>
          <w:b w:val="0"/>
          <w:i/>
        </w:rPr>
        <w:t>[FIGURA NO ENCONTRADA: fig04_pipeline_corpus.png]</w:t>
      </w:r>
    </w:p>
    <w:p>
      <w:pPr>
        <w:pStyle w:val="Piedefoto-tabla"/>
        <w:jc w:val="both"/>
      </w:pPr>
      <w:r>
        <w:rPr>
          <w:i/>
        </w:rPr>
        <w:t xml:space="preserve">Nota. </w:t>
      </w:r>
      <w:r>
        <w:t>Elaboración propia.</w:t>
      </w:r>
    </w:p>
    <w:p>
      <w:pPr>
        <w:jc w:val="both"/>
      </w:pPr>
      <w:r>
        <w:t xml:space="preserve">Tras el corpus se diseña la base de conocimiento para la línea experimental basada en recuperación aumentada. Tres índices independientes: uno léxico derivado del diccionario, uno gramatical derivado de la gramática pedagógica y del apéndice morfosintáctico, y uno de ejemplos paralelos derivado del corpus alineado. La indexación combina embeddings multilingües densos y una base de datos vectorial local. Las estrategias de control de contexto (top-k acotado, umbrales de similitud, presupuestos de tokens, </w:t>
      </w:r>
      <w:r>
        <w:rPr>
          <w:i/>
        </w:rPr>
        <w:t>reranking</w:t>
      </w:r>
      <w:r>
        <w:t xml:space="preserve"> opcional con </w:t>
      </w:r>
      <w:r>
        <w:rPr>
          <w:i/>
        </w:rPr>
        <w:t>cross-encoder</w:t>
      </w:r>
      <w:r>
        <w:t xml:space="preserve">) se ajustan para mantener el </w:t>
      </w:r>
      <w:r>
        <w:rPr>
          <w:i/>
        </w:rPr>
        <w:t>prompt</w:t>
      </w:r>
      <w:r>
        <w:t xml:space="preserve"> del modelo generativo dentro de límites manejables.</w:t>
      </w:r>
    </w:p>
    <w:p>
      <w:pPr>
        <w:jc w:val="both"/>
      </w:pPr>
      <w:r>
        <w:t>La cuarta fase aborda el ajuste fino eficiente en parámetros del modelo base. Se aprovecha el código de lengua Quechua Ayacucho (</w:t>
      </w:r>
      <w:r>
        <w:rPr>
          <w:rFonts w:ascii="Consolas" w:hAnsi="Consolas"/>
        </w:rPr>
        <w:t>quy_Latn</w:t>
      </w:r>
      <w:r>
        <w:t xml:space="preserve">) que el modelo ya contempla como punto de partida para la transferencia al Inga, lo cual reduce drásticamente la cantidad de datos paralelos necesarios respecto a entrenar desde cero. Cuando el calendario lo permite, se incluyen experimentos de </w:t>
      </w:r>
      <w:r>
        <w:rPr>
          <w:i/>
        </w:rPr>
        <w:t>ablation</w:t>
      </w:r>
      <w:r>
        <w:t xml:space="preserve"> sobre dimensionalidad de los adaptadores, tasa de aprendizaje y augmentación sintética por </w:t>
      </w:r>
      <w:r>
        <w:rPr>
          <w:i/>
        </w:rPr>
        <w:t>back-translation</w:t>
      </w:r>
      <w:r>
        <w:t>. La Figura 5 muestra el pipeline.</w:t>
      </w:r>
    </w:p>
    <w:p>
      <w:pPr>
        <w:pStyle w:val="Descripcin"/>
        <w:jc w:val="left"/>
      </w:pPr>
      <w:r>
        <w:rPr>
          <w:b/>
        </w:rPr>
        <w:t>Figura 5</w:t>
      </w:r>
    </w:p>
    <w:p>
      <w:pPr>
        <w:jc w:val="left"/>
      </w:pPr>
      <w:r>
        <w:rPr>
          <w:i/>
        </w:rPr>
        <w:t>Pipeline de ajuste fino eficiente del modelo de traducción multilingüe</w:t>
      </w:r>
    </w:p>
    <w:p>
      <w:pPr/>
      <w:r>
        <w:rPr>
          <w:b w:val="0"/>
          <w:i/>
        </w:rPr>
        <w:t>[FIGURA NO ENCONTRADA: fig05_pipeline_finetuning.png]</w:t>
      </w:r>
    </w:p>
    <w:p>
      <w:pPr>
        <w:pStyle w:val="Piedefoto-tabla"/>
        <w:jc w:val="both"/>
      </w:pPr>
      <w:r>
        <w:rPr>
          <w:i/>
        </w:rPr>
        <w:t xml:space="preserve">Nota. </w:t>
      </w:r>
      <w:r>
        <w:t>Elaboración propia.</w:t>
      </w:r>
    </w:p>
    <w:p>
      <w:pPr>
        <w:jc w:val="both"/>
      </w:pPr>
      <w:r>
        <w:t xml:space="preserve">En paralelo con la cuarta fase corre la quinta, que implementa la línea LLM más RAG. Un modelo de lenguaje de frontera recibe un </w:t>
      </w:r>
      <w:r>
        <w:rPr>
          <w:i/>
        </w:rPr>
        <w:t>prompt</w:t>
      </w:r>
      <w:r>
        <w:t xml:space="preserve"> construido en tiempo de inferencia con el contexto recuperado de los tres índices. El detalle del pipeline aparece en la Figura 6.</w:t>
      </w:r>
    </w:p>
    <w:p>
      <w:pPr>
        <w:pStyle w:val="Descripcin"/>
        <w:jc w:val="left"/>
      </w:pPr>
      <w:r>
        <w:rPr>
          <w:b/>
        </w:rPr>
        <w:t>Figura 6</w:t>
      </w:r>
    </w:p>
    <w:p>
      <w:pPr>
        <w:jc w:val="left"/>
      </w:pPr>
      <w:r>
        <w:rPr>
          <w:i/>
        </w:rPr>
        <w:t>Pipeline de traducción basado en modelo de lenguaje de frontera con recuperación aumentada</w:t>
      </w:r>
    </w:p>
    <w:p>
      <w:pPr/>
      <w:r>
        <w:rPr>
          <w:b w:val="0"/>
          <w:i/>
        </w:rPr>
        <w:t>[FIGURA NO ENCONTRADA: fig06_pipeline_rag.png]</w:t>
      </w:r>
    </w:p>
    <w:p>
      <w:pPr>
        <w:pStyle w:val="Piedefoto-tabla"/>
        <w:jc w:val="both"/>
      </w:pPr>
      <w:r>
        <w:rPr>
          <w:i/>
        </w:rPr>
        <w:t xml:space="preserve">Nota. </w:t>
      </w:r>
      <w:r>
        <w:t>Elaboración propia.</w:t>
      </w:r>
    </w:p>
    <w:p>
      <w:pPr>
        <w:jc w:val="both"/>
      </w:pPr>
      <w:r>
        <w:t>La sexta fase es la evaluación comparativa. Cada una de las configuraciones definidas en la Tabla 4 se mide con BLEU, chrF++ y BERTScore sobre el conjunto de validación, complementadas con sesiones de validación humana con hablantes nativos. Los resultados se sintetizan en el Capítulo 4; el análisis cualitativo profundo y la validación humana extendida se reservan para la entrega final del TFM.</w:t>
      </w:r>
    </w:p>
    <w:p>
      <w:pPr>
        <w:jc w:val="both"/>
      </w:pPr>
      <w:r>
        <w:t>Cierra el cronograma la séptima fase, dedicada a empaquetar el sistema como aplicación local replicable y a documentar el marco metodológico como aporte reutilizable.</w:t>
      </w:r>
    </w:p>
    <w:p>
      <w:r>
        <w:br w:type="page"/>
      </w:r>
    </w:p>
    <w:p>
      <w:pPr/>
      <w:r>
        <w:rPr>
          <w:b w:val="0"/>
          <w:i w:val="0"/>
        </w:rPr>
        <w:t>======================================================================</w:t>
      </w:r>
    </w:p>
    <w:p>
      <w:pPr/>
      <w:r>
        <w:rPr>
          <w:b/>
          <w:i w:val="0"/>
        </w:rPr>
        <w:t>INSERTAR EN: Bloque 5 de 9. SUSTITUIR todo el Capitulo 4 en el docx final. La estructura cambia respecto a la version previa: las tres subsecciones originales (Fase 1, Fase 2, Fase 3 inicial, mas Repositorio, mas Proximos pasos hacia la siguiente entrega) se reemplazan por siete subsecciones que cubren las Fases 1 a 6 con resultados experimentales. Las Tablas 6, 7 y 8 y las Figuras 9, 10, 11 y 12 son nuevas y siguen el formato APA correcto (Bloque 9 muestra el patron a replicar).</w:t>
      </w:r>
    </w:p>
    <w:p>
      <w:pPr/>
      <w:r>
        <w:rPr>
          <w:b w:val="0"/>
          <w:i w:val="0"/>
        </w:rPr>
        <w:t>======================================================================</w:t>
      </w:r>
    </w:p>
    <w:p>
      <w:pPr/>
    </w:p>
    <w:p>
      <w:pPr>
        <w:pStyle w:val="Ttulo1"/>
        <w:pageBreakBefore/>
      </w:pPr>
      <w:r>
        <w:rPr>
          <w:b w:val="0"/>
          <w:i w:val="0"/>
        </w:rPr>
        <w:t>4. Desarrollo específico de la contribución</w:t>
      </w:r>
    </w:p>
    <w:p>
      <w:pPr>
        <w:jc w:val="both"/>
      </w:pPr>
      <w:r>
        <w:t>Este capítulo documenta la implementación de las Fases 1 a 6 del proyecto, desde la configuración del entorno experimental hasta la evaluación comparativa de las cinco configuraciones definidas en la Tabla 4. Cada sección reporta tanto la decisión metodológica adoptada como la evidencia cuantitativa y cualitativa de su ejecución.</w:t>
      </w:r>
    </w:p>
    <w:p>
      <w:pPr>
        <w:pStyle w:val="Ttulo2"/>
      </w:pPr>
      <w:r>
        <w:rPr>
          <w:b w:val="0"/>
          <w:i w:val="0"/>
        </w:rPr>
        <w:t>4.1 Configuración del entorno computacional</w:t>
      </w:r>
    </w:p>
    <w:p>
      <w:pPr>
        <w:jc w:val="both"/>
      </w:pPr>
      <w:r>
        <w:t xml:space="preserve">Sobre la estación local Apple M4 Max (128 GB de memoria unificada, macOS Darwin 25.3.0) se montó el entorno experimental con Python 3.11 gestionado mediante </w:t>
      </w:r>
      <w:r>
        <w:rPr>
          <w:rFonts w:ascii="Consolas" w:hAnsi="Consolas"/>
        </w:rPr>
        <w:t>uv</w:t>
      </w:r>
      <w:r>
        <w:t xml:space="preserve">. El proyecto se reorganizó como paquete reproducible con </w:t>
      </w:r>
      <w:r>
        <w:rPr>
          <w:rFonts w:ascii="Consolas" w:hAnsi="Consolas"/>
        </w:rPr>
        <w:t>pyproject.toml</w:t>
      </w:r>
      <w:r>
        <w:t>, lockfile (</w:t>
      </w:r>
      <w:r>
        <w:rPr>
          <w:rFonts w:ascii="Consolas" w:hAnsi="Consolas"/>
        </w:rPr>
        <w:t>uv.lock</w:t>
      </w:r>
      <w:r>
        <w:t>) y archivo de variables de entorno separado (</w:t>
      </w:r>
      <w:r>
        <w:rPr>
          <w:rFonts w:ascii="Consolas" w:hAnsi="Consolas"/>
        </w:rPr>
        <w:t>.env.example</w:t>
      </w:r>
      <w:r>
        <w:t xml:space="preserve">) para las credenciales de APIs externas. Las librerías centrales utilizadas son </w:t>
      </w:r>
      <w:r>
        <w:rPr>
          <w:i/>
        </w:rPr>
        <w:t>transformers</w:t>
      </w:r>
      <w:r>
        <w:t xml:space="preserve">, </w:t>
      </w:r>
      <w:r>
        <w:rPr>
          <w:i/>
        </w:rPr>
        <w:t>peft</w:t>
      </w:r>
      <w:r>
        <w:t xml:space="preserve"> y </w:t>
      </w:r>
      <w:r>
        <w:rPr>
          <w:i/>
        </w:rPr>
        <w:t>accelerate</w:t>
      </w:r>
      <w:r>
        <w:t xml:space="preserve"> para el ajuste fino de modelos multilingües; </w:t>
      </w:r>
      <w:r>
        <w:rPr>
          <w:i/>
        </w:rPr>
        <w:t>sentence-transformers</w:t>
      </w:r>
      <w:r>
        <w:t xml:space="preserve"> y la SDK oficial </w:t>
      </w:r>
      <w:r>
        <w:rPr>
          <w:i/>
        </w:rPr>
        <w:t>google-genai</w:t>
      </w:r>
      <w:r>
        <w:t xml:space="preserve"> para los embeddings densos; </w:t>
      </w:r>
      <w:r>
        <w:rPr>
          <w:i/>
        </w:rPr>
        <w:t>anthropic</w:t>
      </w:r>
      <w:r>
        <w:t xml:space="preserve"> para el modelo de lenguaje de frontera; </w:t>
      </w:r>
      <w:r>
        <w:rPr>
          <w:i/>
        </w:rPr>
        <w:t>lancedb</w:t>
      </w:r>
      <w:r>
        <w:t xml:space="preserve"> para el almacenamiento vectorial; y </w:t>
      </w:r>
      <w:r>
        <w:rPr>
          <w:i/>
        </w:rPr>
        <w:t>sacrebleu</w:t>
      </w:r>
      <w:r>
        <w:t xml:space="preserve"> y </w:t>
      </w:r>
      <w:r>
        <w:rPr>
          <w:i/>
        </w:rPr>
        <w:t>bert-score</w:t>
      </w:r>
      <w:r>
        <w:t xml:space="preserve"> para la evaluación automática. La aceleración por hardware Metal Performance Shaders (MPS) se validó en una inferencia zero-shot del modelo </w:t>
      </w:r>
      <w:r>
        <w:rPr>
          <w:rFonts w:ascii="Consolas" w:hAnsi="Consolas"/>
        </w:rPr>
        <w:t>facebook/nllb-200-distilled-600M</w:t>
      </w:r>
      <w:r>
        <w:t xml:space="preserve"> sobre el par Español-Quechua Ayacucho (</w:t>
      </w:r>
      <w:r>
        <w:rPr>
          <w:rFonts w:ascii="Consolas" w:hAnsi="Consolas"/>
        </w:rPr>
        <w:t>spa_Latn</w:t>
      </w:r>
      <w:r>
        <w:t xml:space="preserve"> a </w:t>
      </w:r>
      <w:r>
        <w:rPr>
          <w:rFonts w:ascii="Consolas" w:hAnsi="Consolas"/>
        </w:rPr>
        <w:t>quy_Latn</w:t>
      </w:r>
      <w:r>
        <w:t>), que constituye el criterio de cierre formal de esta fase. El detalle del entorno se preserva en el Notebook 00 del repositorio, referenciado en el Anexo A.</w:t>
      </w:r>
    </w:p>
    <w:p>
      <w:pPr>
        <w:pStyle w:val="Ttulo2"/>
      </w:pPr>
      <w:r>
        <w:rPr>
          <w:b w:val="0"/>
          <w:i w:val="0"/>
        </w:rPr>
        <w:t>4.2 Construcción del corpus paralelo</w:t>
      </w:r>
    </w:p>
    <w:p>
      <w:pPr>
        <w:jc w:val="both"/>
      </w:pPr>
      <w:r>
        <w:t>La construcción del corpus paralelo Inga-Español se apoya en cinco fuentes primarias previamente extraídas a formato Markdown mediante reconocimiento óptico de caracteres. El inventario consolidado se muestra en la Tabla 3.</w:t>
      </w:r>
    </w:p>
    <w:p>
      <w:pPr>
        <w:pStyle w:val="Descripcin"/>
        <w:jc w:val="left"/>
      </w:pPr>
      <w:r>
        <w:rPr>
          <w:b/>
        </w:rPr>
        <w:t>Tabla 3</w:t>
      </w:r>
    </w:p>
    <w:p>
      <w:pPr>
        <w:jc w:val="left"/>
      </w:pPr>
      <w:r>
        <w:rPr>
          <w:i/>
        </w:rPr>
        <w:t>Inventario de recursos lingüísticos primarios utilizados en la construcción del corpus</w:t>
      </w:r>
    </w:p>
    <w:tbl>
      <w:tblPr>
        <w:tblStyle w:val="Tablaconcuadrcula"/>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r/>
            <w:r>
              <w:rPr>
                <w:b/>
              </w:rPr>
              <w:t>Recurso</w:t>
            </w:r>
          </w:p>
        </w:tc>
        <w:tc>
          <w:tcPr>
            <w:tcW w:type="dxa" w:w="1512"/>
          </w:tcPr>
          <w:p>
            <w:r/>
            <w:r>
              <w:rPr>
                <w:b/>
              </w:rPr>
              <w:t>Dialecto</w:t>
            </w:r>
          </w:p>
        </w:tc>
        <w:tc>
          <w:tcPr>
            <w:tcW w:type="dxa" w:w="1512"/>
          </w:tcPr>
          <w:p>
            <w:r/>
            <w:r>
              <w:rPr>
                <w:b/>
              </w:rPr>
              <w:t>Páginas</w:t>
            </w:r>
          </w:p>
        </w:tc>
        <w:tc>
          <w:tcPr>
            <w:tcW w:type="dxa" w:w="1512"/>
          </w:tcPr>
          <w:p>
            <w:r/>
            <w:r>
              <w:rPr>
                <w:b/>
              </w:rPr>
              <w:t>Registro</w:t>
            </w:r>
          </w:p>
        </w:tc>
        <w:tc>
          <w:tcPr>
            <w:tcW w:type="dxa" w:w="1512"/>
          </w:tcPr>
          <w:p>
            <w:r/>
            <w:r>
              <w:rPr>
                <w:b/>
              </w:rPr>
              <w:t>Tipo de alineación</w:t>
            </w:r>
          </w:p>
        </w:tc>
        <w:tc>
          <w:tcPr>
            <w:tcW w:type="dxa" w:w="1512"/>
          </w:tcPr>
          <w:p>
            <w:r/>
            <w:r>
              <w:rPr>
                <w:b/>
              </w:rPr>
              <w:t>Unidades detectadas</w:t>
            </w:r>
          </w:p>
        </w:tc>
      </w:tr>
      <w:tr>
        <w:tc>
          <w:tcPr>
            <w:tcW w:type="dxa" w:w="1512"/>
          </w:tcPr>
          <w:p>
            <w:r>
              <w:t>*Diccionario Inga* (Tandioy Jansasoy et al., 1997)</w:t>
            </w:r>
          </w:p>
        </w:tc>
        <w:tc>
          <w:tcPr>
            <w:tcW w:type="dxa" w:w="1512"/>
          </w:tcPr>
          <w:p>
            <w:r>
              <w:t>AP + MP (marcado)</w:t>
            </w:r>
          </w:p>
        </w:tc>
        <w:tc>
          <w:tcPr>
            <w:tcW w:type="dxa" w:w="1512"/>
          </w:tcPr>
          <w:p>
            <w:r>
              <w:t>177</w:t>
            </w:r>
          </w:p>
        </w:tc>
        <w:tc>
          <w:tcPr>
            <w:tcW w:type="dxa" w:w="1512"/>
          </w:tcPr>
          <w:p>
            <w:r>
              <w:t>Léxico</w:t>
            </w:r>
          </w:p>
        </w:tc>
        <w:tc>
          <w:tcPr>
            <w:tcW w:type="dxa" w:w="1512"/>
          </w:tcPr>
          <w:p>
            <w:r>
              <w:t>N/A</w:t>
            </w:r>
          </w:p>
        </w:tc>
        <w:tc>
          <w:tcPr>
            <w:tcW w:type="dxa" w:w="1512"/>
          </w:tcPr>
          <w:p>
            <w:r>
              <w:t>4.900 entradas</w:t>
            </w:r>
          </w:p>
        </w:tc>
      </w:tr>
      <w:tr>
        <w:tc>
          <w:tcPr>
            <w:tcW w:type="dxa" w:w="1512"/>
          </w:tcPr>
          <w:p>
            <w:r>
              <w:t>*Gramática Pedagógica del Inga* (Levinsohn y Mongui)</w:t>
            </w:r>
          </w:p>
        </w:tc>
        <w:tc>
          <w:tcPr>
            <w:tcW w:type="dxa" w:w="1512"/>
          </w:tcPr>
          <w:p>
            <w:r>
              <w:t>AP principalmente</w:t>
            </w:r>
          </w:p>
        </w:tc>
        <w:tc>
          <w:tcPr>
            <w:tcW w:type="dxa" w:w="1512"/>
          </w:tcPr>
          <w:p>
            <w:r>
              <w:t>228</w:t>
            </w:r>
          </w:p>
        </w:tc>
        <w:tc>
          <w:tcPr>
            <w:tcW w:type="dxa" w:w="1512"/>
          </w:tcPr>
          <w:p>
            <w:r>
              <w:t>Didáctico</w:t>
            </w:r>
          </w:p>
        </w:tc>
        <w:tc>
          <w:tcPr>
            <w:tcW w:type="dxa" w:w="1512"/>
          </w:tcPr>
          <w:p>
            <w:r>
              <w:t>N/A</w:t>
            </w:r>
          </w:p>
        </w:tc>
        <w:tc>
          <w:tcPr>
            <w:tcW w:type="dxa" w:w="1512"/>
          </w:tcPr>
          <w:p>
            <w:r>
              <w:t>560 bloques</w:t>
            </w:r>
          </w:p>
        </w:tc>
      </w:tr>
      <w:tr>
        <w:tc>
          <w:tcPr>
            <w:tcW w:type="dxa" w:w="1512"/>
          </w:tcPr>
          <w:p>
            <w:r>
              <w:t>Apéndice morfosintáctico (Rosetta Project)</w:t>
            </w:r>
          </w:p>
        </w:tc>
        <w:tc>
          <w:tcPr>
            <w:tcW w:type="dxa" w:w="1512"/>
          </w:tcPr>
          <w:p>
            <w:r>
              <w:t>N/A</w:t>
            </w:r>
          </w:p>
        </w:tc>
        <w:tc>
          <w:tcPr>
            <w:tcW w:type="dxa" w:w="1512"/>
          </w:tcPr>
          <w:p>
            <w:r>
              <w:t>26</w:t>
            </w:r>
          </w:p>
        </w:tc>
        <w:tc>
          <w:tcPr>
            <w:tcW w:type="dxa" w:w="1512"/>
          </w:tcPr>
          <w:p>
            <w:r>
              <w:t>Técnico</w:t>
            </w:r>
          </w:p>
        </w:tc>
        <w:tc>
          <w:tcPr>
            <w:tcW w:type="dxa" w:w="1512"/>
          </w:tcPr>
          <w:p>
            <w:r>
              <w:t>N/A</w:t>
            </w:r>
          </w:p>
        </w:tc>
        <w:tc>
          <w:tcPr>
            <w:tcW w:type="dxa" w:w="1512"/>
          </w:tcPr>
          <w:p>
            <w:r>
              <w:t>45 bloques</w:t>
            </w:r>
          </w:p>
        </w:tc>
      </w:tr>
      <w:tr>
        <w:tc>
          <w:tcPr>
            <w:tcW w:type="dxa" w:w="1512"/>
          </w:tcPr>
          <w:p>
            <w:r>
              <w:t>*El Nuevo Testamento en Inga* (Wycliffe Bible Translators, 2012)</w:t>
            </w:r>
          </w:p>
        </w:tc>
        <w:tc>
          <w:tcPr>
            <w:tcW w:type="dxa" w:w="1512"/>
          </w:tcPr>
          <w:p>
            <w:r>
              <w:t>AP (probable)</w:t>
            </w:r>
          </w:p>
        </w:tc>
        <w:tc>
          <w:tcPr>
            <w:tcW w:type="dxa" w:w="1512"/>
          </w:tcPr>
          <w:p>
            <w:r>
              <w:t>595</w:t>
            </w:r>
          </w:p>
        </w:tc>
        <w:tc>
          <w:tcPr>
            <w:tcW w:type="dxa" w:w="1512"/>
          </w:tcPr>
          <w:p>
            <w:r>
              <w:t>Bíblico-literario</w:t>
            </w:r>
          </w:p>
        </w:tc>
        <w:tc>
          <w:tcPr>
            <w:tcW w:type="dxa" w:w="1512"/>
          </w:tcPr>
          <w:p>
            <w:r>
              <w:t>Versículo</w:t>
            </w:r>
          </w:p>
        </w:tc>
        <w:tc>
          <w:tcPr>
            <w:tcW w:type="dxa" w:w="1512"/>
          </w:tcPr>
          <w:p>
            <w:r>
              <w:t>6.083 versículos</w:t>
            </w:r>
          </w:p>
        </w:tc>
      </w:tr>
      <w:tr>
        <w:tc>
          <w:tcPr>
            <w:tcW w:type="dxa" w:w="1512"/>
          </w:tcPr>
          <w:p>
            <w:r>
              <w:t>*Antihua Pacay Gentecunapa Parlocuna* (Jamioy Yanangona de Peña, 1985)</w:t>
            </w:r>
          </w:p>
        </w:tc>
        <w:tc>
          <w:tcPr>
            <w:tcW w:type="dxa" w:w="1512"/>
          </w:tcPr>
          <w:p>
            <w:r>
              <w:t>MP (Mocoa)</w:t>
            </w:r>
          </w:p>
        </w:tc>
        <w:tc>
          <w:tcPr>
            <w:tcW w:type="dxa" w:w="1512"/>
          </w:tcPr>
          <w:p>
            <w:r>
              <w:t>68</w:t>
            </w:r>
          </w:p>
        </w:tc>
        <w:tc>
          <w:tcPr>
            <w:tcW w:type="dxa" w:w="1512"/>
          </w:tcPr>
          <w:p>
            <w:r>
              <w:t>Narrativo oral</w:t>
            </w:r>
          </w:p>
        </w:tc>
        <w:tc>
          <w:tcPr>
            <w:tcW w:type="dxa" w:w="1512"/>
          </w:tcPr>
          <w:p>
            <w:r>
              <w:t>Bloque</w:t>
            </w:r>
          </w:p>
        </w:tc>
        <w:tc>
          <w:tcPr>
            <w:tcW w:type="dxa" w:w="1512"/>
          </w:tcPr>
          <w:p>
            <w:r>
              <w:t>86 pares exploratorios</w:t>
            </w:r>
          </w:p>
        </w:tc>
      </w:tr>
    </w:tbl>
    <w:p>
      <w:pPr>
        <w:pStyle w:val="Piedefoto-tabla"/>
        <w:jc w:val="both"/>
      </w:pPr>
      <w:r>
        <w:rPr>
          <w:i/>
        </w:rPr>
        <w:t xml:space="preserve">Nota. </w:t>
      </w:r>
      <w:r>
        <w:t>Elaboración propia a partir de los notebooks 03 a 07 de este trabajo. La cifra total de páginas OCR asciende a 1.094.</w:t>
      </w:r>
    </w:p>
    <w:p>
      <w:pPr>
        <w:pStyle w:val="Ttulo3"/>
      </w:pPr>
      <w:r>
        <w:rPr>
          <w:b w:val="0"/>
          <w:i w:val="0"/>
        </w:rPr>
        <w:t>4.2.1 Reextracción estructurada del Nuevo Testamento en Inga</w:t>
      </w:r>
    </w:p>
    <w:p>
      <w:pPr>
        <w:jc w:val="both"/>
      </w:pPr>
      <w:r>
        <w:t xml:space="preserve">El OCR original del Nuevo Testamento Wycliffe presenta tres tipos de señal aprovechables para reconstruir la estructura libro-capítulo-versículo: cabeceras de página en mayúsculas con el nombre del libro y el número de capítulo (con notación </w:t>
      </w:r>
      <w:r>
        <w:rPr>
          <w:rFonts w:ascii="Consolas" w:hAnsi="Consolas"/>
        </w:rPr>
        <w:t>LIBRO X, Y</w:t>
      </w:r>
      <w:r>
        <w:t xml:space="preserve"> cuando la página cubre una transición de capítulo); marcadores de versículo en caracteres Unicode superíndice, concatenables como </w:t>
      </w:r>
      <w:r>
        <w:rPr>
          <w:rFonts w:ascii="Consolas" w:hAnsi="Consolas"/>
        </w:rPr>
        <w:t>¹²</w:t>
      </w:r>
      <w:r>
        <w:t xml:space="preserve"> o combinados con guion como </w:t>
      </w:r>
      <w:r>
        <w:rPr>
          <w:rFonts w:ascii="Consolas" w:hAnsi="Consolas"/>
        </w:rPr>
        <w:t>⁴-⁵</w:t>
      </w:r>
      <w:r>
        <w:t xml:space="preserve"> para versículos fusionados; y dígitos ASCII intercalados en el cuerpo del texto. El parser desarrollado en el Notebook 03 recorre el documento línea por línea manteniendo el estado actual de libro y capítulo, descarta encabezados de pericope (que el OCR marca con el mismo nivel de heading que las divisiones de libro) y aplica un resolutor contextual para los casos ambiguos: el heading </w:t>
      </w:r>
      <w:r>
        <w:rPr>
          <w:rFonts w:ascii="Consolas" w:hAnsi="Consolas"/>
        </w:rPr>
        <w:t># SAN JUAN</w:t>
      </w:r>
      <w:r>
        <w:t>, por ejemplo, puede corresponder al evangelio o a las epístolas 1, 2 o 3 Juan según cuál de esos libros ya se haya procesado vía cabeceras de página.</w:t>
      </w:r>
    </w:p>
    <w:p>
      <w:pPr>
        <w:jc w:val="both"/>
      </w:pPr>
      <w:r>
        <w:t>El resultado es una salida JSONL con 6.083 versículos únicos del NT Inga, equivalentes al 76,5% del canon de 7.958. La distribución por libro se mantiene relativamente uniforme entre el 70% y el 85% de cobertura, con caídas en los libros muy cortos (2 Juan, 3 Juan) cuyo OCR fragmenta los pocos marcadores de versículo disponibles.</w:t>
      </w:r>
    </w:p>
    <w:p>
      <w:pPr>
        <w:pStyle w:val="Ttulo3"/>
      </w:pPr>
      <w:r>
        <w:rPr>
          <w:b w:val="0"/>
          <w:i w:val="0"/>
        </w:rPr>
        <w:t>4.2.2 Extracción del Nuevo Testamento en español</w:t>
      </w:r>
    </w:p>
    <w:p>
      <w:pPr>
        <w:jc w:val="both"/>
      </w:pPr>
      <w:r>
        <w:t>La selección del corpus paralelo en español requiere conciliar dos restricciones competitivas: que la traducción sea culturalmente próxima al uso del Putumayo y que sea redistribuible para preservar el compromiso del proyecto con la liberación abierta de los recursos. La Biblia Latinoamericana, aunque es la traducción más leída en el sur de Colombia, mantiene copyright vigente de Editorial Verbo Divino hasta aproximadamente 2074 y por tanto no puede formar parte de un corpus paralelo abierto. La traducción de Torres Amat (1832), católica y en dominio público verificado, sólo está disponible como escaneos antiguos de calidad de OCR variable, con problemas de columnas mezcladas y texto latino paralelo que reducirían la tasa de alineación esperada a menos del 80%. La Reina-Valera 1909, en cambio, está disponible en formato USFM estructurado a través del distribuidor eBible.org, con dominio público explícito y certificación de procedencia. Aunque es una traducción protestante, la estructura libro-capítulo-versículo del Nuevo Testamento es idéntica al canon católico, lo que permite una alineación sin pérdida estructural con el NT Inga (de origen también protestante por su traductor, Wycliffe).</w:t>
      </w:r>
    </w:p>
    <w:p>
      <w:pPr>
        <w:jc w:val="both"/>
      </w:pPr>
      <w:r>
        <w:t xml:space="preserve">El Notebook 04 procesa los 27 archivos USFM del NT Reina-Valera 1909 eliminando el marcado anotativo (etiquetas Strong, notas al pie, referencias cruzadas y palabras añadidas por el traductor entre </w:t>
      </w:r>
      <w:r>
        <w:rPr>
          <w:rFonts w:ascii="Consolas" w:hAnsi="Consolas"/>
        </w:rPr>
        <w:t>\add</w:t>
      </w:r>
      <w:r>
        <w:t>...</w:t>
      </w:r>
      <w:r>
        <w:rPr>
          <w:rFonts w:ascii="Consolas" w:hAnsi="Consolas"/>
        </w:rPr>
        <w:t>\add*</w:t>
      </w:r>
      <w:r>
        <w:t>). El resultado preserva 7.955 de los 7.958 versículos canónicos (99,96%), un 23 puntos por encima de la cobertura alcanzada por el parser del NT Inga, lo cual era esperable: el USFM es texto digital nativo, mientras que el Inga es OCR sobre un PDF impreso.</w:t>
      </w:r>
    </w:p>
    <w:p>
      <w:pPr>
        <w:pStyle w:val="Ttulo3"/>
      </w:pPr>
      <w:r>
        <w:rPr>
          <w:b w:val="0"/>
          <w:i w:val="0"/>
        </w:rPr>
        <w:t>4.2.3 Alineación canónica versículo a versículo</w:t>
      </w:r>
    </w:p>
    <w:p>
      <w:pPr>
        <w:jc w:val="both"/>
      </w:pPr>
      <w:r>
        <w:t xml:space="preserve">El Notebook 05 ejecuta un </w:t>
      </w:r>
      <w:r>
        <w:rPr>
          <w:i/>
        </w:rPr>
        <w:t>inner join</w:t>
      </w:r>
      <w:r>
        <w:t xml:space="preserve"> exacto entre las dos salidas JSONL utilizando la tupla </w:t>
      </w:r>
      <w:r>
        <w:rPr>
          <w:rFonts w:ascii="Consolas" w:hAnsi="Consolas"/>
        </w:rPr>
        <w:t>(libro, capítulo, versículo)</w:t>
      </w:r>
      <w:r>
        <w:t xml:space="preserve"> como clave. El total de pares resultantes es 5.680, lo que equivale al 93,3% de los versículos disponibles en la versión Inga: los falsos positivos del parser OCR (números que parecen marcadores pero no son versículos canónicos) se filtran naturalmente al no encontrar coincidencia en el lado español. Sobre esa salida se aplican tres filtros de calidad: longitud mínima de cinco palabras en ambos lados, relación máxima de longitudes de cinco a uno entre versiones (descarta desalineamientos obvios) y exclusión de versículos mayoritariamente numéricos. El corpus paralelo final contiene 5.589 pares con una longitud media de 21,2 palabras en Inga y 20,7 en español, y una relación media de longitudes de 1,44. Los 27 libros del Nuevo Testamento están representados.</w:t>
      </w:r>
    </w:p>
    <w:p>
      <w:pPr>
        <w:pStyle w:val="Ttulo3"/>
      </w:pPr>
      <w:r>
        <w:rPr>
          <w:b w:val="0"/>
          <w:i w:val="0"/>
        </w:rPr>
        <w:t>4.2.4 Antihua Pacay como recurso exploratorio</w:t>
      </w:r>
    </w:p>
    <w:p>
      <w:pPr>
        <w:jc w:val="both"/>
      </w:pPr>
      <w:r>
        <w:t xml:space="preserve">La cartilla narrativa </w:t>
      </w:r>
      <w:r>
        <w:rPr>
          <w:i/>
        </w:rPr>
        <w:t>Antihua Pacay Gentecunapa Parlocuna</w:t>
      </w:r>
      <w:r>
        <w:t xml:space="preserve"> es la única fuente primaria disponible del dialecto Medio Putumayo y por tanto es estratégicamente relevante para la cobertura bidialectal del proyecto. El Notebook 06 segmenta el documento en sus dos mitades (un bloque continuo en Inga seguido por un bloque parcial en español) e intenta alinear las historias por orden de aparición. Sólo la primera de las seis historias del documento dispone de traducción al español, y la alineación oración a oración por índice presenta desfase significativo (91 oraciones en Inga frente a 102 en español). El resultado, 86 pares con calidad heterogénea, se documenta pero queda fuera del corpus de entrenamiento empleado en este estudio. La alineación correcta requiere un alineador semántico basado en embeddings multilingües, técnica que se identifica como vía de extensión natural del trabajo.</w:t>
      </w:r>
    </w:p>
    <w:p>
      <w:pPr>
        <w:pStyle w:val="Ttulo3"/>
      </w:pPr>
      <w:r>
        <w:rPr>
          <w:b w:val="0"/>
          <w:i w:val="0"/>
        </w:rPr>
        <w:t>4.2.5 Particiones del corpus</w:t>
      </w:r>
    </w:p>
    <w:p>
      <w:pPr>
        <w:jc w:val="both"/>
      </w:pPr>
      <w:r>
        <w:t xml:space="preserve">El Notebook 07 unifica las salidas y produce las particiones train, val y test en proporción 80/10/10 mediante un </w:t>
      </w:r>
      <w:r>
        <w:rPr>
          <w:i/>
        </w:rPr>
        <w:t>shuffle</w:t>
      </w:r>
      <w:r>
        <w:t xml:space="preserve"> aleatorio con semilla 42. La estratificación por libro, considerada inicialmente, no es viable porque dos libros del NT (2 Juan con 5 pares y 3 Juan con 6 pares en el corpus alineado) no tienen suficientes muestras para distribuirse en tres particiones disjuntas. El </w:t>
      </w:r>
      <w:r>
        <w:rPr>
          <w:i/>
        </w:rPr>
        <w:t>shuffle</w:t>
      </w:r>
      <w:r>
        <w:t xml:space="preserve"> aleatorio cubre los 27 libros en train, 25 en val y 26 en test, con los faltantes correspondiendo a los dos libros mencionados. Las cifras absolutas son 4.471 pares de entrenamiento, 558 de validación y 560 de prueba.</w:t>
      </w:r>
    </w:p>
    <w:p>
      <w:pPr>
        <w:pStyle w:val="Descripcin"/>
        <w:jc w:val="left"/>
      </w:pPr>
      <w:r>
        <w:rPr>
          <w:b/>
        </w:rPr>
        <w:t>Figura 9</w:t>
      </w:r>
    </w:p>
    <w:p>
      <w:pPr>
        <w:jc w:val="left"/>
      </w:pPr>
      <w:r>
        <w:rPr>
          <w:i/>
        </w:rPr>
        <w:t>Distribución del corpus paralelo Inga-español por libro y partición</w:t>
      </w:r>
    </w:p>
    <w:p>
      <w:pPr>
        <w:pStyle w:val="Figuras"/>
        <w:jc w:val="center"/>
      </w:pPr>
      <w:r>
        <w:drawing>
          <wp:inline xmlns:a="http://schemas.openxmlformats.org/drawingml/2006/main" xmlns:pic="http://schemas.openxmlformats.org/drawingml/2006/picture">
            <wp:extent cx="5040000" cy="3115946"/>
            <wp:docPr id="1" name="Picture 1"/>
            <wp:cNvGraphicFramePr>
              <a:graphicFrameLocks noChangeAspect="1"/>
            </wp:cNvGraphicFramePr>
            <a:graphic>
              <a:graphicData uri="http://schemas.openxmlformats.org/drawingml/2006/picture">
                <pic:pic>
                  <pic:nvPicPr>
                    <pic:cNvPr id="0" name="fig09_distribucion_corpus.png"/>
                    <pic:cNvPicPr/>
                  </pic:nvPicPr>
                  <pic:blipFill>
                    <a:blip r:embed="rId18"/>
                    <a:stretch>
                      <a:fillRect/>
                    </a:stretch>
                  </pic:blipFill>
                  <pic:spPr>
                    <a:xfrm>
                      <a:off x="0" y="0"/>
                      <a:ext cx="5040000" cy="3115946"/>
                    </a:xfrm>
                    <a:prstGeom prst="rect"/>
                  </pic:spPr>
                </pic:pic>
              </a:graphicData>
            </a:graphic>
          </wp:inline>
        </w:drawing>
      </w:r>
    </w:p>
    <w:p>
      <w:pPr>
        <w:pStyle w:val="Piedefoto-tabla"/>
        <w:jc w:val="both"/>
      </w:pPr>
      <w:r>
        <w:rPr>
          <w:i/>
        </w:rPr>
        <w:t xml:space="preserve">Nota. </w:t>
      </w:r>
      <w:r>
        <w:t>Elaboración propia a partir del Notebook 07. Las tres particiones se generan por *shuffle* aleatorio con semilla 42 en proporción 80/10/10; la dominancia visual de Lucas, Hechos y Mateo refleja el desbalance natural del Nuevo Testamento, donde estos tres libros concentran el 41% de los versículos del canon.</w:t>
      </w:r>
    </w:p>
    <w:p>
      <w:pPr>
        <w:pStyle w:val="Descripcin"/>
        <w:jc w:val="left"/>
      </w:pPr>
      <w:r>
        <w:rPr>
          <w:b/>
        </w:rPr>
        <w:t>Tabla 6</w:t>
      </w:r>
    </w:p>
    <w:p>
      <w:pPr>
        <w:jc w:val="left"/>
      </w:pPr>
      <w:r>
        <w:rPr>
          <w:i/>
        </w:rPr>
        <w:t>Distribución del corpus paralelo train/val/test por dialecto</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tcPr>
          <w:p>
            <w:r/>
            <w:r>
              <w:rPr>
                <w:b/>
              </w:rPr>
              <w:t>Partición</w:t>
            </w:r>
          </w:p>
        </w:tc>
        <w:tc>
          <w:tcPr>
            <w:tcW w:type="dxa" w:w="2268"/>
          </w:tcPr>
          <w:p>
            <w:r/>
            <w:r>
              <w:rPr>
                <w:b/>
              </w:rPr>
              <w:t>AP (Alto Putumayo)</w:t>
            </w:r>
          </w:p>
        </w:tc>
        <w:tc>
          <w:tcPr>
            <w:tcW w:type="dxa" w:w="2268"/>
          </w:tcPr>
          <w:p>
            <w:r/>
            <w:r>
              <w:rPr>
                <w:b/>
              </w:rPr>
              <w:t>MP (Medio Putumayo)</w:t>
            </w:r>
          </w:p>
        </w:tc>
        <w:tc>
          <w:tcPr>
            <w:tcW w:type="dxa" w:w="2268"/>
          </w:tcPr>
          <w:p>
            <w:r/>
            <w:r>
              <w:rPr>
                <w:b/>
              </w:rPr>
              <w:t>Total</w:t>
            </w:r>
          </w:p>
        </w:tc>
      </w:tr>
      <w:tr>
        <w:tc>
          <w:tcPr>
            <w:tcW w:type="dxa" w:w="2268"/>
          </w:tcPr>
          <w:p>
            <w:r>
              <w:t>Train</w:t>
            </w:r>
          </w:p>
        </w:tc>
        <w:tc>
          <w:tcPr>
            <w:tcW w:type="dxa" w:w="2268"/>
          </w:tcPr>
          <w:p>
            <w:r>
              <w:t>4.471</w:t>
            </w:r>
          </w:p>
        </w:tc>
        <w:tc>
          <w:tcPr>
            <w:tcW w:type="dxa" w:w="2268"/>
          </w:tcPr>
          <w:p>
            <w:r>
              <w:t>0</w:t>
            </w:r>
          </w:p>
        </w:tc>
        <w:tc>
          <w:tcPr>
            <w:tcW w:type="dxa" w:w="2268"/>
          </w:tcPr>
          <w:p>
            <w:r>
              <w:t>4.471</w:t>
            </w:r>
          </w:p>
        </w:tc>
      </w:tr>
      <w:tr>
        <w:tc>
          <w:tcPr>
            <w:tcW w:type="dxa" w:w="2268"/>
          </w:tcPr>
          <w:p>
            <w:r>
              <w:t>Val</w:t>
            </w:r>
          </w:p>
        </w:tc>
        <w:tc>
          <w:tcPr>
            <w:tcW w:type="dxa" w:w="2268"/>
          </w:tcPr>
          <w:p>
            <w:r>
              <w:t>558</w:t>
            </w:r>
          </w:p>
        </w:tc>
        <w:tc>
          <w:tcPr>
            <w:tcW w:type="dxa" w:w="2268"/>
          </w:tcPr>
          <w:p>
            <w:r>
              <w:t>0</w:t>
            </w:r>
          </w:p>
        </w:tc>
        <w:tc>
          <w:tcPr>
            <w:tcW w:type="dxa" w:w="2268"/>
          </w:tcPr>
          <w:p>
            <w:r>
              <w:t>558</w:t>
            </w:r>
          </w:p>
        </w:tc>
      </w:tr>
      <w:tr>
        <w:tc>
          <w:tcPr>
            <w:tcW w:type="dxa" w:w="2268"/>
          </w:tcPr>
          <w:p>
            <w:r>
              <w:t>Test</w:t>
            </w:r>
          </w:p>
        </w:tc>
        <w:tc>
          <w:tcPr>
            <w:tcW w:type="dxa" w:w="2268"/>
          </w:tcPr>
          <w:p>
            <w:r>
              <w:t>560</w:t>
            </w:r>
          </w:p>
        </w:tc>
        <w:tc>
          <w:tcPr>
            <w:tcW w:type="dxa" w:w="2268"/>
          </w:tcPr>
          <w:p>
            <w:r>
              <w:t>0</w:t>
            </w:r>
          </w:p>
        </w:tc>
        <w:tc>
          <w:tcPr>
            <w:tcW w:type="dxa" w:w="2268"/>
          </w:tcPr>
          <w:p>
            <w:r>
              <w:t>560</w:t>
            </w:r>
          </w:p>
        </w:tc>
      </w:tr>
      <w:tr>
        <w:tc>
          <w:tcPr>
            <w:tcW w:type="dxa" w:w="2268"/>
          </w:tcPr>
          <w:p>
            <w:r>
              <w:t>**Total**</w:t>
            </w:r>
          </w:p>
        </w:tc>
        <w:tc>
          <w:tcPr>
            <w:tcW w:type="dxa" w:w="2268"/>
          </w:tcPr>
          <w:p>
            <w:r>
              <w:t>**5.589**</w:t>
            </w:r>
          </w:p>
        </w:tc>
        <w:tc>
          <w:tcPr>
            <w:tcW w:type="dxa" w:w="2268"/>
          </w:tcPr>
          <w:p>
            <w:r>
              <w:t>**0**</w:t>
            </w:r>
          </w:p>
        </w:tc>
        <w:tc>
          <w:tcPr>
            <w:tcW w:type="dxa" w:w="2268"/>
          </w:tcPr>
          <w:p>
            <w:r>
              <w:t>**5.589**</w:t>
            </w:r>
          </w:p>
        </w:tc>
      </w:tr>
    </w:tbl>
    <w:p>
      <w:pPr>
        <w:pStyle w:val="Piedefoto-tabla"/>
        <w:jc w:val="both"/>
      </w:pPr>
      <w:r>
        <w:rPr>
          <w:i/>
        </w:rPr>
        <w:t xml:space="preserve">Nota. </w:t>
      </w:r>
      <w:r>
        <w:t>Elaboración propia. La columna MP queda en cero porque la alineación de *Antihua Pacay* se posterga a la Entrega Final como se explica en la sección 4.2.4.</w:t>
      </w:r>
    </w:p>
    <w:p>
      <w:pPr>
        <w:pStyle w:val="Ttulo2"/>
      </w:pPr>
      <w:r>
        <w:rPr>
          <w:b w:val="0"/>
          <w:i w:val="0"/>
        </w:rPr>
        <w:t>4.3 Base de conocimiento e indexación vectorial</w:t>
      </w:r>
    </w:p>
    <w:p>
      <w:pPr>
        <w:jc w:val="both"/>
      </w:pPr>
      <w:r>
        <w:t xml:space="preserve">El sistema de recuperación aumentada del eje LLM se sustenta en tres índices vectoriales independientes alojados en LanceDB. La elección de LanceDB como motor de almacenamiento se debe a tres consideraciones: es una base de datos vectorial </w:t>
      </w:r>
      <w:r>
        <w:rPr>
          <w:i/>
        </w:rPr>
        <w:t>embedded</w:t>
      </w:r>
      <w:r>
        <w:t xml:space="preserve">, sin servicio externo ni clave de API, lo que mantiene la reproducibilidad y elimina costos recurrentes; usa un formato columnar inspeccionable directamente con herramientas de análisis de datos; y maneja sin sobrecarga el volumen estimado del proyecto, del orden de diez mil vectores. Los embeddings se calculan con </w:t>
      </w:r>
      <w:r>
        <w:rPr>
          <w:rFonts w:ascii="Consolas" w:hAnsi="Consolas"/>
        </w:rPr>
        <w:t>gemini-embedding-001</w:t>
      </w:r>
      <w:r>
        <w:t xml:space="preserve">, configurado con </w:t>
      </w:r>
      <w:r>
        <w:rPr>
          <w:rFonts w:ascii="Consolas" w:hAnsi="Consolas"/>
        </w:rPr>
        <w:t>output_dimensionality=768</w:t>
      </w:r>
      <w:r>
        <w:t xml:space="preserve"> para reducir el espacio de almacenamiento sin pérdida material de calidad, e implementan reintento exponencial con throttling de 1,2 segundos entre lotes de 50 textos para respetar el límite de 3.000 peticiones por minuto del </w:t>
      </w:r>
      <w:r>
        <w:rPr>
          <w:i/>
        </w:rPr>
        <w:t>tier</w:t>
      </w:r>
      <w:r>
        <w:t xml:space="preserve"> de pago de la API.</w:t>
      </w:r>
    </w:p>
    <w:p>
      <w:pPr>
        <w:jc w:val="both"/>
      </w:pPr>
      <w:r>
        <w:t xml:space="preserve">El </w:t>
      </w:r>
      <w:r>
        <w:rPr>
          <w:b/>
        </w:rPr>
        <w:t>índice léxico</w:t>
      </w:r>
      <w:r>
        <w:t xml:space="preserve"> se construye en el Notebook 08 a partir del </w:t>
      </w:r>
      <w:r>
        <w:rPr>
          <w:i/>
        </w:rPr>
        <w:t>Diccionario Inga</w:t>
      </w:r>
      <w:r>
        <w:t xml:space="preserve">. La extracción original del proyecto recuperaba sólo el lema y la categoría gramatical de cada entrada, perdiendo la glosa en español. El parser de este trabajo recupera las definiciones completas, incluyendo marcadores dialectales y referencias cruzadas, y produce 4.900 entradas estructuradas. Cada entrada se indexa con la composición </w:t>
      </w:r>
      <w:r>
        <w:rPr>
          <w:rFonts w:ascii="Consolas" w:hAnsi="Consolas"/>
        </w:rPr>
        <w:t>lema (categoría): glosa</w:t>
      </w:r>
      <w:r>
        <w:t xml:space="preserve"> para que el embedding capture simultáneamente la palabra Inga y su semántica castellana.</w:t>
      </w:r>
    </w:p>
    <w:p>
      <w:pPr>
        <w:jc w:val="both"/>
      </w:pPr>
      <w:r>
        <w:t xml:space="preserve">El </w:t>
      </w:r>
      <w:r>
        <w:rPr>
          <w:b/>
        </w:rPr>
        <w:t>índice gramatical</w:t>
      </w:r>
      <w:r>
        <w:t xml:space="preserve"> se construye a partir de la </w:t>
      </w:r>
      <w:r>
        <w:rPr>
          <w:i/>
        </w:rPr>
        <w:t>Gramática Pedagógica del Inga</w:t>
      </w:r>
      <w:r>
        <w:t xml:space="preserve"> de Levinsohn y del apéndice morfosintáctico Rosetta, segmentando los documentos en bloques de párrafo con al menos treinta palabras y descartando líneas residuales del OCR (numeración de páginas, encabezados sueltos). El resultado son 560 chunks de la gramática y 45 del apéndice, un total de 605 unidades de conocimiento gramatical.</w:t>
      </w:r>
    </w:p>
    <w:p>
      <w:pPr>
        <w:jc w:val="both"/>
      </w:pPr>
      <w:r>
        <w:t xml:space="preserve">El </w:t>
      </w:r>
      <w:r>
        <w:rPr>
          <w:b/>
        </w:rPr>
        <w:t>índice de ejemplos</w:t>
      </w:r>
      <w:r>
        <w:t xml:space="preserve"> indexa los 4.471 pares del </w:t>
      </w:r>
      <w:r>
        <w:rPr>
          <w:i/>
        </w:rPr>
        <w:t>split</w:t>
      </w:r>
      <w:r>
        <w:t xml:space="preserve"> de entrenamiento por el texto Inga, devolviendo en la consulta también la traducción al español para inyectarla como ejemplo </w:t>
      </w:r>
      <w:r>
        <w:rPr>
          <w:i/>
        </w:rPr>
        <w:t>few-shot</w:t>
      </w:r>
      <w:r>
        <w:t xml:space="preserve"> en el prompt del modelo de lenguaje de frontera. Para soportar la traducción en dirección inversa, español a Inga, se construye adicionalmente un cuarto índice (</w:t>
      </w:r>
      <w:r>
        <w:rPr>
          <w:rFonts w:ascii="Consolas" w:hAnsi="Consolas"/>
        </w:rPr>
        <w:t>ejemplos_es</w:t>
      </w:r>
      <w:r>
        <w:t xml:space="preserve">) con los mismos pares pero indexados por el texto español. Esta duplicación es necesaria porque la similitud vectorial se calcula sobre el texto de la </w:t>
      </w:r>
      <w:r>
        <w:rPr>
          <w:i/>
        </w:rPr>
        <w:t>query</w:t>
      </w:r>
      <w:r>
        <w:t>, que debe estar en la lengua de origen.</w:t>
      </w:r>
    </w:p>
    <w:p>
      <w:pPr>
        <w:pStyle w:val="Descripcin"/>
        <w:jc w:val="left"/>
      </w:pPr>
      <w:r>
        <w:rPr>
          <w:b/>
        </w:rPr>
        <w:t>Figura 10</w:t>
      </w:r>
    </w:p>
    <w:p>
      <w:pPr>
        <w:jc w:val="left"/>
      </w:pPr>
      <w:r>
        <w:rPr>
          <w:i/>
        </w:rPr>
        <w:t>Arquitectura del sistema RAG implementado</w:t>
      </w:r>
    </w:p>
    <w:p>
      <w:pPr>
        <w:pStyle w:val="Figuras"/>
        <w:jc w:val="center"/>
      </w:pPr>
      <w:r>
        <w:drawing>
          <wp:inline xmlns:a="http://schemas.openxmlformats.org/drawingml/2006/main" xmlns:pic="http://schemas.openxmlformats.org/drawingml/2006/picture">
            <wp:extent cx="5040000" cy="2930461"/>
            <wp:docPr id="2" name="Picture 2"/>
            <wp:cNvGraphicFramePr>
              <a:graphicFrameLocks noChangeAspect="1"/>
            </wp:cNvGraphicFramePr>
            <a:graphic>
              <a:graphicData uri="http://schemas.openxmlformats.org/drawingml/2006/picture">
                <pic:pic>
                  <pic:nvPicPr>
                    <pic:cNvPr id="0" name="fig10_arquitectura_rag.png"/>
                    <pic:cNvPicPr/>
                  </pic:nvPicPr>
                  <pic:blipFill>
                    <a:blip r:embed="rId19"/>
                    <a:stretch>
                      <a:fillRect/>
                    </a:stretch>
                  </pic:blipFill>
                  <pic:spPr>
                    <a:xfrm>
                      <a:off x="0" y="0"/>
                      <a:ext cx="5040000" cy="2930461"/>
                    </a:xfrm>
                    <a:prstGeom prst="rect"/>
                  </pic:spPr>
                </pic:pic>
              </a:graphicData>
            </a:graphic>
          </wp:inline>
        </w:drawing>
      </w:r>
    </w:p>
    <w:p>
      <w:pPr>
        <w:pStyle w:val="Piedefoto-tabla"/>
        <w:jc w:val="both"/>
      </w:pPr>
      <w:r>
        <w:rPr>
          <w:i/>
        </w:rPr>
        <w:t xml:space="preserve">Nota. </w:t>
      </w:r>
      <w:r>
        <w:t>Elaboración propia. El retriever consulta los tres índices en paralelo y devuelve top-k de cada uno. Para la dirección inversa, el índice de ejemplos se conmuta dinámicamente a `ejemplos_es`.</w:t>
      </w:r>
    </w:p>
    <w:p>
      <w:pPr>
        <w:jc w:val="both"/>
      </w:pPr>
      <w:r>
        <w:t xml:space="preserve">La validación cualitativa del retriever se ejecuta sobre tres queries representativas. La palabra </w:t>
      </w:r>
      <w:r>
        <w:rPr>
          <w:rFonts w:ascii="Consolas" w:hAnsi="Consolas"/>
        </w:rPr>
        <w:t>wasi</w:t>
      </w:r>
      <w:r>
        <w:t xml:space="preserve"> (casa) recupera del índice léxico las entradas </w:t>
      </w:r>
      <w:r>
        <w:rPr>
          <w:rFonts w:ascii="Consolas" w:hAnsi="Consolas"/>
        </w:rPr>
        <w:t>casa (s): wasi</w:t>
      </w:r>
      <w:r>
        <w:t xml:space="preserve"> y </w:t>
      </w:r>
      <w:r>
        <w:rPr>
          <w:rFonts w:ascii="Consolas" w:hAnsi="Consolas"/>
        </w:rPr>
        <w:t>wasi (s): casa</w:t>
      </w:r>
      <w:r>
        <w:t xml:space="preserve">; del índice gramatical, bloques que explican el uso de </w:t>
      </w:r>
      <w:r>
        <w:rPr>
          <w:rFonts w:ascii="Consolas" w:hAnsi="Consolas"/>
        </w:rPr>
        <w:t>huasi</w:t>
      </w:r>
      <w:r>
        <w:t xml:space="preserve"> con sufijos de caso (</w:t>
      </w:r>
      <w:r>
        <w:rPr>
          <w:rFonts w:ascii="Consolas" w:hAnsi="Consolas"/>
        </w:rPr>
        <w:t>huasi cancha</w:t>
      </w:r>
      <w:r>
        <w:t xml:space="preserve">, </w:t>
      </w:r>
      <w:r>
        <w:rPr>
          <w:rFonts w:ascii="Consolas" w:hAnsi="Consolas"/>
        </w:rPr>
        <w:t>huasi ucu</w:t>
      </w:r>
      <w:r>
        <w:t xml:space="preserve">); del índice de ejemplos, tres versículos del NT donde aparece la palabra. La consulta </w:t>
      </w:r>
      <w:r>
        <w:rPr>
          <w:rFonts w:ascii="Consolas" w:hAnsi="Consolas"/>
        </w:rPr>
        <w:t>imasa parlangapa</w:t>
      </w:r>
      <w:r>
        <w:t xml:space="preserve"> (cómo decir) recupera las entradas léxicas </w:t>
      </w:r>
      <w:r>
        <w:rPr>
          <w:rFonts w:ascii="Consolas" w:hAnsi="Consolas"/>
        </w:rPr>
        <w:t>imasa</w:t>
      </w:r>
      <w:r>
        <w:t xml:space="preserve"> y </w:t>
      </w:r>
      <w:r>
        <w:rPr>
          <w:rFonts w:ascii="Consolas" w:hAnsi="Consolas"/>
        </w:rPr>
        <w:t>idioma</w:t>
      </w:r>
      <w:r>
        <w:t xml:space="preserve"> junto con tres bloques de la gramática que explican el uso de </w:t>
      </w:r>
      <w:r>
        <w:rPr>
          <w:rFonts w:ascii="Consolas" w:hAnsi="Consolas"/>
        </w:rPr>
        <w:t>imasa</w:t>
      </w:r>
      <w:r>
        <w:t xml:space="preserve"> como marcador comparativo, además de versículos que ilustran su uso. Una oración completa, </w:t>
      </w:r>
      <w:r>
        <w:rPr>
          <w:rFonts w:ascii="Consolas" w:hAnsi="Consolas"/>
        </w:rPr>
        <w:t>Taita Diuska runakunata kuianmi</w:t>
      </w:r>
      <w:r>
        <w:t xml:space="preserve">, recupera entradas léxicas tangenciales (la palabra </w:t>
      </w:r>
      <w:r>
        <w:rPr>
          <w:rFonts w:ascii="Consolas" w:hAnsi="Consolas"/>
        </w:rPr>
        <w:t>taita</w:t>
      </w:r>
      <w:r>
        <w:t xml:space="preserve"> y compuestos relacionados) pero sí encuentra ejemplos paralelos semánticamente cercanos sobre el amor de Dios en las epístolas. Esta asimetría es esperable: la similitud semántica entre una oración completa y una entrada de diccionario es necesariamente baja, y la utilidad real del índice léxico se manifiesta en las traducciones de palabras sueltas.</w:t>
      </w:r>
    </w:p>
    <w:p>
      <w:pPr>
        <w:pStyle w:val="Ttulo2"/>
      </w:pPr>
      <w:r>
        <w:rPr>
          <w:b w:val="0"/>
          <w:i w:val="0"/>
        </w:rPr>
        <w:t>4.4 Adaptación de NLLB-200 mediante LoRA bidireccional</w:t>
      </w:r>
    </w:p>
    <w:p>
      <w:pPr>
        <w:jc w:val="both"/>
      </w:pPr>
      <w:r>
        <w:rPr>
          <w:b/>
        </w:rPr>
        <w:t>Contribución de William Santos.</w:t>
      </w:r>
    </w:p>
    <w:p>
      <w:pPr>
        <w:jc w:val="both"/>
      </w:pPr>
      <w:r>
        <w:t xml:space="preserve">La adaptación de </w:t>
      </w:r>
      <w:r>
        <w:rPr>
          <w:b/>
        </w:rPr>
        <w:t>NLLB-200-distilled-600M</w:t>
      </w:r>
      <w:r>
        <w:t xml:space="preserve"> al par Inga-español se ejecutó mediante adaptadores de bajo rango (LoRA) insertados sobre las proyecciones de consulta y valor (</w:t>
      </w:r>
      <w:r>
        <w:rPr>
          <w:rFonts w:ascii="Consolas" w:hAnsi="Consolas"/>
        </w:rPr>
        <w:t>q_proj</w:t>
      </w:r>
      <w:r>
        <w:t xml:space="preserve">, </w:t>
      </w:r>
      <w:r>
        <w:rPr>
          <w:rFonts w:ascii="Consolas" w:hAnsi="Consolas"/>
        </w:rPr>
        <w:t>v_proj</w:t>
      </w:r>
      <w:r>
        <w:t xml:space="preserve">) de las capas de atención del transformador. El entrenamiento corrió en una sola pasada sobre el corpus paralelo duplicado en ambas direcciones, de modo que un único adaptador sirve para inferir Inga-español o español-Inga según los códigos </w:t>
      </w:r>
      <w:r>
        <w:rPr>
          <w:rFonts w:ascii="Consolas" w:hAnsi="Consolas"/>
        </w:rPr>
        <w:t>src_lang</w:t>
      </w:r>
      <w:r>
        <w:t xml:space="preserve"> y </w:t>
      </w:r>
      <w:r>
        <w:rPr>
          <w:rFonts w:ascii="Consolas" w:hAnsi="Consolas"/>
        </w:rPr>
        <w:t>tgt_lang</w:t>
      </w:r>
      <w:r>
        <w:t xml:space="preserve"> que se pasen al tokenizador en inferencia. La duplicación del corpus de 4.512 a 9.024 ejemplos permitió compartir representaciones entre las dos direcciones sin necesidad de mantener dos adaptadores separados.</w:t>
      </w:r>
    </w:p>
    <w:p>
      <w:pPr>
        <w:jc w:val="both"/>
      </w:pPr>
      <w:r>
        <w:t xml:space="preserve">La configuración hiperparamétrica del entrenamiento se resume en la Tabla 7. La instrumentación utilizó las librerías </w:t>
      </w:r>
      <w:r>
        <w:rPr>
          <w:i/>
        </w:rPr>
        <w:t>transformers</w:t>
      </w:r>
      <w:r>
        <w:t xml:space="preserve">, </w:t>
      </w:r>
      <w:r>
        <w:rPr>
          <w:i/>
        </w:rPr>
        <w:t>peft</w:t>
      </w:r>
      <w:r>
        <w:t xml:space="preserve"> y </w:t>
      </w:r>
      <w:r>
        <w:rPr>
          <w:i/>
        </w:rPr>
        <w:t>accelerate</w:t>
      </w:r>
      <w:r>
        <w:t xml:space="preserve"> sobre Python 3.11 con backend Metal Performance Shaders. El procedimiento completo se documenta en el Notebook 09 del repositorio del proyecto, referenciado en el Anexo A.</w:t>
      </w:r>
    </w:p>
    <w:p>
      <w:pPr>
        <w:pStyle w:val="Descripcin"/>
        <w:jc w:val="left"/>
      </w:pPr>
      <w:r>
        <w:rPr>
          <w:b/>
        </w:rPr>
        <w:t>Tabla 7</w:t>
      </w:r>
    </w:p>
    <w:p>
      <w:pPr>
        <w:jc w:val="left"/>
      </w:pPr>
      <w:r>
        <w:rPr>
          <w:i/>
        </w:rPr>
        <w:t>Hiperparámetros del entrenamiento LoRA</w:t>
      </w:r>
    </w:p>
    <w:tbl>
      <w:tblPr>
        <w:tblStyle w:val="Tablaconcuadrcula"/>
        <w:tblW w:type="auto" w:w="0"/>
        <w:jc w:val="center"/>
        <w:tblLook w:firstColumn="1" w:firstRow="1" w:lastColumn="0" w:lastRow="0" w:noHBand="0" w:noVBand="1" w:val="04A0"/>
      </w:tblPr>
      <w:tblGrid>
        <w:gridCol w:w="4535"/>
        <w:gridCol w:w="4535"/>
      </w:tblGrid>
      <w:tr>
        <w:tc>
          <w:tcPr>
            <w:tcW w:type="dxa" w:w="4535"/>
          </w:tcPr>
          <w:p>
            <w:r/>
            <w:r>
              <w:rPr>
                <w:b/>
              </w:rPr>
              <w:t>Hiperparámetro</w:t>
            </w:r>
          </w:p>
        </w:tc>
        <w:tc>
          <w:tcPr>
            <w:tcW w:type="dxa" w:w="4535"/>
          </w:tcPr>
          <w:p>
            <w:r/>
            <w:r>
              <w:rPr>
                <w:b/>
              </w:rPr>
              <w:t>Valor</w:t>
            </w:r>
          </w:p>
        </w:tc>
      </w:tr>
      <w:tr>
        <w:tc>
          <w:tcPr>
            <w:tcW w:type="dxa" w:w="4535"/>
          </w:tcPr>
          <w:p>
            <w:r>
              <w:t>Modelo base</w:t>
            </w:r>
          </w:p>
        </w:tc>
        <w:tc>
          <w:tcPr>
            <w:tcW w:type="dxa" w:w="4535"/>
          </w:tcPr>
          <w:p>
            <w:r>
              <w:t>`facebook/nllb-200-distilled-600M`</w:t>
            </w:r>
          </w:p>
        </w:tc>
      </w:tr>
      <w:tr>
        <w:tc>
          <w:tcPr>
            <w:tcW w:type="dxa" w:w="4535"/>
          </w:tcPr>
          <w:p>
            <w:r>
              <w:t>Código fuente Inga</w:t>
            </w:r>
          </w:p>
        </w:tc>
        <w:tc>
          <w:tcPr>
            <w:tcW w:type="dxa" w:w="4535"/>
          </w:tcPr>
          <w:p>
            <w:r>
              <w:t>`quy_Latn` (Quechua Ayacucho como transferencia)</w:t>
            </w:r>
          </w:p>
        </w:tc>
      </w:tr>
      <w:tr>
        <w:tc>
          <w:tcPr>
            <w:tcW w:type="dxa" w:w="4535"/>
          </w:tcPr>
          <w:p>
            <w:r>
              <w:t>Código destino español</w:t>
            </w:r>
          </w:p>
        </w:tc>
        <w:tc>
          <w:tcPr>
            <w:tcW w:type="dxa" w:w="4535"/>
          </w:tcPr>
          <w:p>
            <w:r>
              <w:t>`spa_Latn`</w:t>
            </w:r>
          </w:p>
        </w:tc>
      </w:tr>
      <w:tr>
        <w:tc>
          <w:tcPr>
            <w:tcW w:type="dxa" w:w="4535"/>
          </w:tcPr>
          <w:p>
            <w:r>
              <w:t>Rango LoRA (r)</w:t>
            </w:r>
          </w:p>
        </w:tc>
        <w:tc>
          <w:tcPr>
            <w:tcW w:type="dxa" w:w="4535"/>
          </w:tcPr>
          <w:p>
            <w:r>
              <w:t>16</w:t>
            </w:r>
          </w:p>
        </w:tc>
      </w:tr>
      <w:tr>
        <w:tc>
          <w:tcPr>
            <w:tcW w:type="dxa" w:w="4535"/>
          </w:tcPr>
          <w:p>
            <w:r>
              <w:t>Factor de escala (alpha)</w:t>
            </w:r>
          </w:p>
        </w:tc>
        <w:tc>
          <w:tcPr>
            <w:tcW w:type="dxa" w:w="4535"/>
          </w:tcPr>
          <w:p>
            <w:r>
              <w:t>32</w:t>
            </w:r>
          </w:p>
        </w:tc>
      </w:tr>
      <w:tr>
        <w:tc>
          <w:tcPr>
            <w:tcW w:type="dxa" w:w="4535"/>
          </w:tcPr>
          <w:p>
            <w:r>
              <w:t>Dropout LoRA</w:t>
            </w:r>
          </w:p>
        </w:tc>
        <w:tc>
          <w:tcPr>
            <w:tcW w:type="dxa" w:w="4535"/>
          </w:tcPr>
          <w:p>
            <w:r>
              <w:t>0,1</w:t>
            </w:r>
          </w:p>
        </w:tc>
      </w:tr>
      <w:tr>
        <w:tc>
          <w:tcPr>
            <w:tcW w:type="dxa" w:w="4535"/>
          </w:tcPr>
          <w:p>
            <w:r>
              <w:t>Módulos objetivo</w:t>
            </w:r>
          </w:p>
        </w:tc>
        <w:tc>
          <w:tcPr>
            <w:tcW w:type="dxa" w:w="4535"/>
          </w:tcPr>
          <w:p>
            <w:r>
              <w:t>`q_proj`, `v_proj`</w:t>
            </w:r>
          </w:p>
        </w:tc>
      </w:tr>
      <w:tr>
        <w:tc>
          <w:tcPr>
            <w:tcW w:type="dxa" w:w="4535"/>
          </w:tcPr>
          <w:p>
            <w:r>
              <w:t>Optimizador</w:t>
            </w:r>
          </w:p>
        </w:tc>
        <w:tc>
          <w:tcPr>
            <w:tcW w:type="dxa" w:w="4535"/>
          </w:tcPr>
          <w:p>
            <w:r>
              <w:t>AdamW</w:t>
            </w:r>
          </w:p>
        </w:tc>
      </w:tr>
      <w:tr>
        <w:tc>
          <w:tcPr>
            <w:tcW w:type="dxa" w:w="4535"/>
          </w:tcPr>
          <w:p>
            <w:r>
              <w:t>Tasa de aprendizaje</w:t>
            </w:r>
          </w:p>
        </w:tc>
        <w:tc>
          <w:tcPr>
            <w:tcW w:type="dxa" w:w="4535"/>
          </w:tcPr>
          <w:p>
            <w:r>
              <w:t>3e-4</w:t>
            </w:r>
          </w:p>
        </w:tc>
      </w:tr>
      <w:tr>
        <w:tc>
          <w:tcPr>
            <w:tcW w:type="dxa" w:w="4535"/>
          </w:tcPr>
          <w:p>
            <w:r>
              <w:t>Warmup steps</w:t>
            </w:r>
          </w:p>
        </w:tc>
        <w:tc>
          <w:tcPr>
            <w:tcW w:type="dxa" w:w="4535"/>
          </w:tcPr>
          <w:p>
            <w:r>
              <w:t>100</w:t>
            </w:r>
          </w:p>
        </w:tc>
      </w:tr>
      <w:tr>
        <w:tc>
          <w:tcPr>
            <w:tcW w:type="dxa" w:w="4535"/>
          </w:tcPr>
          <w:p>
            <w:r>
              <w:t>Epochs</w:t>
            </w:r>
          </w:p>
        </w:tc>
        <w:tc>
          <w:tcPr>
            <w:tcW w:type="dxa" w:w="4535"/>
          </w:tcPr>
          <w:p>
            <w:r>
              <w:t>3</w:t>
            </w:r>
          </w:p>
        </w:tc>
      </w:tr>
      <w:tr>
        <w:tc>
          <w:tcPr>
            <w:tcW w:type="dxa" w:w="4535"/>
          </w:tcPr>
          <w:p>
            <w:r>
              <w:t>Batch size por dispositivo</w:t>
            </w:r>
          </w:p>
        </w:tc>
        <w:tc>
          <w:tcPr>
            <w:tcW w:type="dxa" w:w="4535"/>
          </w:tcPr>
          <w:p>
            <w:r>
              <w:t>8</w:t>
            </w:r>
          </w:p>
        </w:tc>
      </w:tr>
      <w:tr>
        <w:tc>
          <w:tcPr>
            <w:tcW w:type="dxa" w:w="4535"/>
          </w:tcPr>
          <w:p>
            <w:r>
              <w:t>Longitud máxima de secuencia</w:t>
            </w:r>
          </w:p>
        </w:tc>
        <w:tc>
          <w:tcPr>
            <w:tcW w:type="dxa" w:w="4535"/>
          </w:tcPr>
          <w:p>
            <w:r>
              <w:t>128 tokens</w:t>
            </w:r>
          </w:p>
        </w:tc>
      </w:tr>
      <w:tr>
        <w:tc>
          <w:tcPr>
            <w:tcW w:type="dxa" w:w="4535"/>
          </w:tcPr>
          <w:p>
            <w:r>
              <w:t>Dispositivo</w:t>
            </w:r>
          </w:p>
        </w:tc>
        <w:tc>
          <w:tcPr>
            <w:tcW w:type="dxa" w:w="4535"/>
          </w:tcPr>
          <w:p>
            <w:r>
              <w:t>Apple M4 Max + MPS</w:t>
            </w:r>
          </w:p>
        </w:tc>
      </w:tr>
    </w:tbl>
    <w:p>
      <w:pPr>
        <w:pStyle w:val="Piedefoto-tabla"/>
        <w:jc w:val="both"/>
      </w:pPr>
      <w:r>
        <w:rPr>
          <w:i/>
        </w:rPr>
        <w:t xml:space="preserve">Nota. </w:t>
      </w:r>
      <w:r>
        <w:t>Elaboración propia. El corpus de entrenamiento se duplica de 4.512 a 9.024 ejemplos para cubrir ambas direcciones de traducción.</w:t>
      </w:r>
    </w:p>
    <w:p>
      <w:pPr>
        <w:jc w:val="both"/>
      </w:pPr>
      <w:r>
        <w:t xml:space="preserve">La configuración de LoRA introdujo aproximadamente 1,18 millones de parámetros entrenables, equivalentes al 0,19 % de los 615 millones de parámetros totales del modelo base. Los pesos del adaptador resultante ocupan 9,4 megabytes, frente a los 2,4 gigabytes del modelo NLLB completo, lo que confirma la ventaja de eficiencia en almacenamiento y portabilidad que motiva esta familia de técnicas (Hu et al., 2022; Su et al., 2024). El tiempo total de entrenamiento sobre la estación local fue de aproximadamente 47 minutos para los 3 epochs y 3.384 </w:t>
      </w:r>
      <w:r>
        <w:rPr>
          <w:i/>
        </w:rPr>
        <w:t>steps</w:t>
      </w:r>
      <w:r>
        <w:t xml:space="preserve"> de optimización.</w:t>
      </w:r>
    </w:p>
    <w:p>
      <w:pPr>
        <w:jc w:val="both"/>
      </w:pPr>
      <w:r>
        <w:t xml:space="preserve">La evolución de la función de pérdida durante el entrenamiento se muestra en la Figura 11. La pérdida de entrenamiento descendió de un valor inicial de 10,71 a 6,00 en los 3.384 </w:t>
      </w:r>
      <w:r>
        <w:rPr>
          <w:i/>
        </w:rPr>
        <w:t>steps</w:t>
      </w:r>
      <w:r>
        <w:t xml:space="preserve"> totales, mientras que la pérdida de validación, evaluada al final de cada epoch, registró 6,05, 5,97 y 5,94 respectivamente. La convergencia entre las dos curvas, sin separación apreciable entre entrenamiento y validación, indica que el modelo no incurre en sobreajuste sobre el corpus disponible; sin embargo, la pérdida absoluta sigue siendo alta para los estándares de la traducción automática neuronal estándar, lo que sugiere que el adaptador alcanza el régimen lineal del proceso de aprendizaje pero no llega al punto de saturación que permitiría una calidad de traducción comparable a pares lingüísticos de alto recurso. Esta limitación se discute en relación con el tamaño efectivo del corpus en el Capítulo 5.</w:t>
      </w:r>
    </w:p>
    <w:p>
      <w:pPr>
        <w:pStyle w:val="Descripcin"/>
        <w:jc w:val="left"/>
      </w:pPr>
      <w:r>
        <w:rPr>
          <w:b/>
        </w:rPr>
        <w:t>Figura 11</w:t>
      </w:r>
    </w:p>
    <w:p>
      <w:pPr>
        <w:jc w:val="left"/>
      </w:pPr>
      <w:r>
        <w:rPr>
          <w:i/>
        </w:rPr>
        <w:t>Curva de loss del entrenamiento LoRA bidireccional</w:t>
      </w:r>
    </w:p>
    <w:p>
      <w:pPr>
        <w:pStyle w:val="Figuras"/>
        <w:jc w:val="center"/>
      </w:pPr>
      <w:r>
        <w:drawing>
          <wp:inline xmlns:a="http://schemas.openxmlformats.org/drawingml/2006/main" xmlns:pic="http://schemas.openxmlformats.org/drawingml/2006/picture">
            <wp:extent cx="5040000" cy="3053621"/>
            <wp:docPr id="3" name="Picture 3"/>
            <wp:cNvGraphicFramePr>
              <a:graphicFrameLocks noChangeAspect="1"/>
            </wp:cNvGraphicFramePr>
            <a:graphic>
              <a:graphicData uri="http://schemas.openxmlformats.org/drawingml/2006/picture">
                <pic:pic>
                  <pic:nvPicPr>
                    <pic:cNvPr id="0" name="fig11_lora_loss.png"/>
                    <pic:cNvPicPr/>
                  </pic:nvPicPr>
                  <pic:blipFill>
                    <a:blip r:embed="rId20"/>
                    <a:stretch>
                      <a:fillRect/>
                    </a:stretch>
                  </pic:blipFill>
                  <pic:spPr>
                    <a:xfrm>
                      <a:off x="0" y="0"/>
                      <a:ext cx="5040000" cy="3053621"/>
                    </a:xfrm>
                    <a:prstGeom prst="rect"/>
                  </pic:spPr>
                </pic:pic>
              </a:graphicData>
            </a:graphic>
          </wp:inline>
        </w:drawing>
      </w:r>
    </w:p>
    <w:p>
      <w:pPr>
        <w:pStyle w:val="Piedefoto-tabla"/>
        <w:jc w:val="both"/>
      </w:pPr>
      <w:r>
        <w:rPr>
          <w:i/>
        </w:rPr>
        <w:t xml:space="preserve">Nota. </w:t>
      </w:r>
      <w:r>
        <w:t>Elaboración propia a partir del Notebook 09. La curva azul muestra la pérdida de entrenamiento muestreada cada 20 *steps*. Los puntos rojos marcan la pérdida de validación al final de cada epoch.</w:t>
      </w:r>
    </w:p>
    <w:p>
      <w:pPr>
        <w:jc w:val="both"/>
      </w:pPr>
      <w:r>
        <w:t xml:space="preserve">La inspección cualitativa de las traducciones producidas por el adaptador revela un comportamiento asimétrico entre las dos direcciones. En la dirección Inga-español el modelo genera oraciones gramaticalmente correctas y semánticamente plausibles para versículos del Nuevo Testamento, aunque con desviaciones léxicas frecuentes respecto a la referencia. En la dirección español-Inga, en cambio, el decodificador entra en un modo de repetición patológica para más del 40 % de las oraciones del </w:t>
      </w:r>
      <w:r>
        <w:rPr>
          <w:i/>
        </w:rPr>
        <w:t>val set</w:t>
      </w:r>
      <w:r>
        <w:t>: secuencias del tipo "iapa iapa iapa..." o "suglla suglla suglla..." se prolongan hasta agotar el presupuesto de tokens, indicando que el modelo no ha logrado aprender una distribución de generación coherente para la lengua de bajos recursos a partir de los 4.512 pares disponibles. Este modo de fallo es conocido en la literatura sobre traducción a lenguas con datos extremadamente escasos y ha sido reportado tanto por Garcia Gilabert et al. (2024) como por DeGenaro y Lupicki (2024).</w:t>
      </w:r>
    </w:p>
    <w:p>
      <w:pPr>
        <w:pStyle w:val="Ttulo2"/>
      </w:pPr>
      <w:r>
        <w:rPr>
          <w:b w:val="0"/>
          <w:i w:val="0"/>
        </w:rPr>
        <w:t>4.5 Pipeline LLM + RAG con Claude</w:t>
      </w:r>
    </w:p>
    <w:p>
      <w:pPr>
        <w:jc w:val="both"/>
      </w:pPr>
      <w:r>
        <w:rPr>
          <w:b/>
        </w:rPr>
        <w:t>Contribución de Daniel Eslava.</w:t>
      </w:r>
    </w:p>
    <w:p>
      <w:pPr>
        <w:jc w:val="both"/>
      </w:pPr>
      <w:r>
        <w:t xml:space="preserve">El segundo eje experimental opera sobre el modelo de lenguaje de frontera </w:t>
      </w:r>
      <w:r>
        <w:rPr>
          <w:b/>
        </w:rPr>
        <w:t>Claude</w:t>
      </w:r>
      <w:r>
        <w:t xml:space="preserve"> de Anthropic, enriquecido con el contexto recuperado del sistema RAG descrito en la sección 4.3. La evaluación experimental se ejecutó con dos versiones del modelo (Sonnet 4.6 y Opus 4.7) para caracterizar el efecto del escalado del modelo subyacente sobre la calidad de traducción en condiciones de bajos recursos. El diseño del prompt es estructurado y específico por dirección. La dirección Inga-español utiliza un </w:t>
      </w:r>
      <w:r>
        <w:rPr>
          <w:i/>
        </w:rPr>
        <w:t>system prompt</w:t>
      </w:r>
      <w:r>
        <w:t xml:space="preserve"> que sitúa al modelo como traductor especializado en una variante quechua del Putumayo y le pide responder únicamente con la traducción, sin explicaciones. La dirección español-Inga emplea un </w:t>
      </w:r>
      <w:r>
        <w:rPr>
          <w:i/>
        </w:rPr>
        <w:t>system prompt</w:t>
      </w:r>
      <w:r>
        <w:t xml:space="preserve"> que enfatiza la primacía del vocabulario y los patrones gramaticales suministrados por el RAG sobre el conocimiento previo del modelo, dado el escaso volumen de Inga en los datos de preentrenamiento de cualquier modelo de lenguaje de frontera.</w:t>
      </w:r>
    </w:p>
    <w:p>
      <w:pPr>
        <w:jc w:val="both"/>
      </w:pPr>
      <w:r>
        <w:t xml:space="preserve">El cuerpo del prompt sigue un patrón consistente. La primera sección inyecta las cinco entradas léxicas más cercanas semánticamente a la oración a traducir, formateadas como </w:t>
      </w:r>
      <w:r>
        <w:rPr>
          <w:rFonts w:ascii="Consolas" w:hAnsi="Consolas"/>
        </w:rPr>
        <w:t>lema (categoría): glosa</w:t>
      </w:r>
      <w:r>
        <w:t xml:space="preserve">. La segunda sección incluye hasta tres bloques de notas gramaticales del índice gramatical, truncados a 400 caracteres cada uno para no saturar el contexto. La tercera sección entrega cinco ejemplos paralelos similares en formato </w:t>
      </w:r>
      <w:r>
        <w:rPr>
          <w:rFonts w:ascii="Consolas" w:hAnsi="Consolas"/>
        </w:rPr>
        <w:t>INGA: ... / ESPAÑOL: ...</w:t>
      </w:r>
      <w:r>
        <w:t>, invertido para la dirección opuesta. El prompt cierra con la instrucción explícita y la oración objetivo.</w:t>
      </w:r>
    </w:p>
    <w:p>
      <w:pPr>
        <w:jc w:val="both"/>
      </w:pPr>
      <w:r>
        <w:t>La inspección cualitativa de las traducciones producidas confirma que la inyección del contexto recuperado modifica sustancialmente el comportamiento del modelo. Un ejemplo ilustrativo proviene del versículo Lucas 9:17, donde el texto Inga "Tukuikunami sagsagta mikurkakuna. Nispaka, chunga iskai saparu junda piti pitikuna tandachirkakuna." debe traducirse como "Y comieron todos, y se hartaron; y alzaron lo que les sobró, doce cestos de pedazos". La traducción del adaptador LoRA produce "Y comieron todos los que quedaron, y se llenaron los pedazos, doce mil pedazos", incurriendo en una confusión numérica grave (doce mil en lugar de doce). El pipeline con Claude más RAG, por contraste, produce "Y comieron todos, y se hartaron; y alzaron lo que sobró de los pedazos, doce cestas llenas", una traducción casi literalmente equivalente al gold de referencia. Este patrón se repite en la mayoría de los ejemplos donde el RAG logra recuperar versículos paralelos cercanos del corpus de entrenamiento, situación que confirma el aporte del paradigma de aumentación por recuperación al rendimiento del modelo de frontera en este escenario de bajos recursos.</w:t>
      </w:r>
    </w:p>
    <w:p>
      <w:pPr>
        <w:pStyle w:val="Ttulo2"/>
      </w:pPr>
      <w:r>
        <w:rPr>
          <w:b w:val="0"/>
          <w:i w:val="0"/>
        </w:rPr>
        <w:t>4.6 Evaluación comparativa</w:t>
      </w:r>
    </w:p>
    <w:p>
      <w:pPr>
        <w:jc w:val="both"/>
      </w:pPr>
      <w:r>
        <w:t xml:space="preserve">La evaluación comparativa se ejecutó sobre 100 ejemplos del </w:t>
      </w:r>
      <w:r>
        <w:rPr>
          <w:i/>
        </w:rPr>
        <w:t>split</w:t>
      </w:r>
      <w:r>
        <w:t xml:space="preserve"> de validación seleccionados con semilla 42 para garantizar la reproducibilidad. La cantidad acotada responde a dos limitaciones operativas: el coste de las llamadas a la API de Anthropic asociadas al pipeline LLM con recuperación aumentada y el tiempo de evaluación local del modelo NLLB con generación por </w:t>
      </w:r>
      <w:r>
        <w:rPr>
          <w:i/>
        </w:rPr>
        <w:t>beam search</w:t>
      </w:r>
      <w:r>
        <w:t xml:space="preserve"> de cuatro caminos. Los 564 ejemplos del </w:t>
      </w:r>
      <w:r>
        <w:rPr>
          <w:i/>
        </w:rPr>
        <w:t>val set</w:t>
      </w:r>
      <w:r>
        <w:t xml:space="preserve"> completo y los 565 ejemplos del </w:t>
      </w:r>
      <w:r>
        <w:rPr>
          <w:i/>
        </w:rPr>
        <w:t>test set</w:t>
      </w:r>
      <w:r>
        <w:t xml:space="preserve"> quedan disponibles para extensiones posteriores del trabajo, incluida la validación humana con hablantes nativos.</w:t>
      </w:r>
    </w:p>
    <w:p>
      <w:pPr>
        <w:jc w:val="both"/>
      </w:pPr>
      <w:r>
        <w:t xml:space="preserve">Las cinco configuraciones de la Tabla 4 del Capítulo 3 se evaluaron en las dos direcciones de traducción, totalizando diez corridas. Las métricas empleadas son BLEU corpus-level (sacrebleu), chrF++ con </w:t>
      </w:r>
      <w:r>
        <w:rPr>
          <w:rFonts w:ascii="Consolas" w:hAnsi="Consolas"/>
        </w:rPr>
        <w:t>word_order=2</w:t>
      </w:r>
      <w:r>
        <w:t xml:space="preserve"> (sacrebleu) y BERTScore F1 con el modelo XLM-RoBERTa multilingüe, configuradas de forma idéntica a las recomendaciones recientes de AmericasNLP (Ebrahimi et al., 2024; de Gibert et al., 2025). El pipeline LLM más RAG se ejecutó con Claude </w:t>
      </w:r>
      <w:r>
        <w:rPr>
          <w:b/>
        </w:rPr>
        <w:t>Opus 4.7</w:t>
      </w:r>
      <w:r>
        <w:t xml:space="preserve"> como modelo principal de reporte. Los resultados consolidados se presentan en la Tabla 8.</w:t>
      </w:r>
    </w:p>
    <w:p>
      <w:pPr>
        <w:pStyle w:val="Descripcin"/>
        <w:jc w:val="left"/>
      </w:pPr>
      <w:r>
        <w:rPr>
          <w:b/>
        </w:rPr>
        <w:t>Tabla 8</w:t>
      </w:r>
    </w:p>
    <w:p>
      <w:pPr>
        <w:jc w:val="left"/>
      </w:pPr>
      <w:r>
        <w:rPr>
          <w:i/>
        </w:rPr>
        <w:t>Métricas BLEU, chrF++ y BERTScore por configuración y dirección sobre 100 ejemplos del val set</w:t>
      </w:r>
    </w:p>
    <w:tbl>
      <w:tblPr>
        <w:tblStyle w:val="Tablaconcuadrcula"/>
        <w:tblW w:type="auto" w:w="0"/>
        <w:jc w:val="center"/>
        <w:tblLook w:firstColumn="1" w:firstRow="1" w:lastColumn="0" w:lastRow="0" w:noHBand="0" w:noVBand="1" w:val="04A0"/>
      </w:tblPr>
      <w:tblGrid>
        <w:gridCol w:w="1814"/>
        <w:gridCol w:w="1814"/>
        <w:gridCol w:w="1814"/>
        <w:gridCol w:w="1814"/>
        <w:gridCol w:w="1814"/>
      </w:tblGrid>
      <w:tr>
        <w:tc>
          <w:tcPr>
            <w:tcW w:type="dxa" w:w="1814"/>
          </w:tcPr>
          <w:p>
            <w:r/>
            <w:r>
              <w:rPr>
                <w:b/>
              </w:rPr>
              <w:t>Config</w:t>
            </w:r>
          </w:p>
        </w:tc>
        <w:tc>
          <w:tcPr>
            <w:tcW w:type="dxa" w:w="1814"/>
          </w:tcPr>
          <w:p>
            <w:r/>
            <w:r>
              <w:rPr>
                <w:b/>
              </w:rPr>
              <w:t>Direccion</w:t>
            </w:r>
          </w:p>
        </w:tc>
        <w:tc>
          <w:tcPr>
            <w:tcW w:type="dxa" w:w="1814"/>
          </w:tcPr>
          <w:p>
            <w:r/>
            <w:r>
              <w:rPr>
                <w:b/>
              </w:rPr>
              <w:t>BLEU</w:t>
            </w:r>
          </w:p>
        </w:tc>
        <w:tc>
          <w:tcPr>
            <w:tcW w:type="dxa" w:w="1814"/>
          </w:tcPr>
          <w:p>
            <w:r/>
            <w:r>
              <w:rPr>
                <w:b/>
              </w:rPr>
              <w:t>chrF++</w:t>
            </w:r>
          </w:p>
        </w:tc>
        <w:tc>
          <w:tcPr>
            <w:tcW w:type="dxa" w:w="1814"/>
          </w:tcPr>
          <w:p>
            <w:r/>
            <w:r>
              <w:rPr>
                <w:b/>
              </w:rPr>
              <w:t>BERTScore F1</w:t>
            </w:r>
          </w:p>
        </w:tc>
      </w:tr>
      <w:tr>
        <w:tc>
          <w:tcPr>
            <w:tcW w:type="dxa" w:w="1814"/>
          </w:tcPr>
          <w:p>
            <w:r>
              <w:t>A: NLLB-200 zero-shot (quy_Latn)</w:t>
            </w:r>
          </w:p>
        </w:tc>
        <w:tc>
          <w:tcPr>
            <w:tcW w:type="dxa" w:w="1814"/>
          </w:tcPr>
          <w:p>
            <w:r>
              <w:t>Inga -&gt; Espanol</w:t>
            </w:r>
          </w:p>
        </w:tc>
        <w:tc>
          <w:tcPr>
            <w:tcW w:type="dxa" w:w="1814"/>
          </w:tcPr>
          <w:p>
            <w:r>
              <w:t>1,82</w:t>
            </w:r>
          </w:p>
        </w:tc>
        <w:tc>
          <w:tcPr>
            <w:tcW w:type="dxa" w:w="1814"/>
          </w:tcPr>
          <w:p>
            <w:r>
              <w:t>19,50</w:t>
            </w:r>
          </w:p>
        </w:tc>
        <w:tc>
          <w:tcPr>
            <w:tcW w:type="dxa" w:w="1814"/>
          </w:tcPr>
          <w:p>
            <w:r>
              <w:t>0,695</w:t>
            </w:r>
          </w:p>
        </w:tc>
      </w:tr>
      <w:tr>
        <w:tc>
          <w:tcPr>
            <w:tcW w:type="dxa" w:w="1814"/>
          </w:tcPr>
          <w:p>
            <w:r>
              <w:t>A: NLLB-200 zero-shot (quy_Latn)</w:t>
            </w:r>
          </w:p>
        </w:tc>
        <w:tc>
          <w:tcPr>
            <w:tcW w:type="dxa" w:w="1814"/>
          </w:tcPr>
          <w:p>
            <w:r>
              <w:t>Espanol -&gt; Inga</w:t>
            </w:r>
          </w:p>
        </w:tc>
        <w:tc>
          <w:tcPr>
            <w:tcW w:type="dxa" w:w="1814"/>
          </w:tcPr>
          <w:p>
            <w:r>
              <w:t>0,16</w:t>
            </w:r>
          </w:p>
        </w:tc>
        <w:tc>
          <w:tcPr>
            <w:tcW w:type="dxa" w:w="1814"/>
          </w:tcPr>
          <w:p>
            <w:r>
              <w:t>15,88</w:t>
            </w:r>
          </w:p>
        </w:tc>
        <w:tc>
          <w:tcPr>
            <w:tcW w:type="dxa" w:w="1814"/>
          </w:tcPr>
          <w:p>
            <w:r>
              <w:t>0,674</w:t>
            </w:r>
          </w:p>
        </w:tc>
      </w:tr>
      <w:tr>
        <w:tc>
          <w:tcPr>
            <w:tcW w:type="dxa" w:w="1814"/>
          </w:tcPr>
          <w:p>
            <w:r>
              <w:t>B: NLLB-200 + LoRA bidireccional</w:t>
            </w:r>
          </w:p>
        </w:tc>
        <w:tc>
          <w:tcPr>
            <w:tcW w:type="dxa" w:w="1814"/>
          </w:tcPr>
          <w:p>
            <w:r>
              <w:t>Inga -&gt; Espanol</w:t>
            </w:r>
          </w:p>
        </w:tc>
        <w:tc>
          <w:tcPr>
            <w:tcW w:type="dxa" w:w="1814"/>
          </w:tcPr>
          <w:p>
            <w:r>
              <w:t>8,18</w:t>
            </w:r>
          </w:p>
        </w:tc>
        <w:tc>
          <w:tcPr>
            <w:tcW w:type="dxa" w:w="1814"/>
          </w:tcPr>
          <w:p>
            <w:r>
              <w:t>27,19</w:t>
            </w:r>
          </w:p>
        </w:tc>
        <w:tc>
          <w:tcPr>
            <w:tcW w:type="dxa" w:w="1814"/>
          </w:tcPr>
          <w:p>
            <w:r>
              <w:t>0,752</w:t>
            </w:r>
          </w:p>
        </w:tc>
      </w:tr>
      <w:tr>
        <w:tc>
          <w:tcPr>
            <w:tcW w:type="dxa" w:w="1814"/>
          </w:tcPr>
          <w:p>
            <w:r>
              <w:t>B: NLLB-200 + LoRA bidireccional</w:t>
            </w:r>
          </w:p>
        </w:tc>
        <w:tc>
          <w:tcPr>
            <w:tcW w:type="dxa" w:w="1814"/>
          </w:tcPr>
          <w:p>
            <w:r>
              <w:t>Espanol -&gt; Inga</w:t>
            </w:r>
          </w:p>
        </w:tc>
        <w:tc>
          <w:tcPr>
            <w:tcW w:type="dxa" w:w="1814"/>
          </w:tcPr>
          <w:p>
            <w:r>
              <w:t>1,79</w:t>
            </w:r>
          </w:p>
        </w:tc>
        <w:tc>
          <w:tcPr>
            <w:tcW w:type="dxa" w:w="1814"/>
          </w:tcPr>
          <w:p>
            <w:r>
              <w:t>22,89</w:t>
            </w:r>
          </w:p>
        </w:tc>
        <w:tc>
          <w:tcPr>
            <w:tcW w:type="dxa" w:w="1814"/>
          </w:tcPr>
          <w:p>
            <w:r>
              <w:t>0,676</w:t>
            </w:r>
          </w:p>
        </w:tc>
      </w:tr>
      <w:tr>
        <w:tc>
          <w:tcPr>
            <w:tcW w:type="dxa" w:w="1814"/>
          </w:tcPr>
          <w:p>
            <w:r>
              <w:t>C: Claude Opus 4.7 zero-shot</w:t>
            </w:r>
          </w:p>
        </w:tc>
        <w:tc>
          <w:tcPr>
            <w:tcW w:type="dxa" w:w="1814"/>
          </w:tcPr>
          <w:p>
            <w:r>
              <w:t>Inga -&gt; Espanol</w:t>
            </w:r>
          </w:p>
        </w:tc>
        <w:tc>
          <w:tcPr>
            <w:tcW w:type="dxa" w:w="1814"/>
          </w:tcPr>
          <w:p>
            <w:r>
              <w:t>4,37</w:t>
            </w:r>
          </w:p>
        </w:tc>
        <w:tc>
          <w:tcPr>
            <w:tcW w:type="dxa" w:w="1814"/>
          </w:tcPr>
          <w:p>
            <w:r>
              <w:t>29,45</w:t>
            </w:r>
          </w:p>
        </w:tc>
        <w:tc>
          <w:tcPr>
            <w:tcW w:type="dxa" w:w="1814"/>
          </w:tcPr>
          <w:p>
            <w:r>
              <w:t>0,736</w:t>
            </w:r>
          </w:p>
        </w:tc>
      </w:tr>
      <w:tr>
        <w:tc>
          <w:tcPr>
            <w:tcW w:type="dxa" w:w="1814"/>
          </w:tcPr>
          <w:p>
            <w:r>
              <w:t>C: Claude Opus 4.7 zero-shot</w:t>
            </w:r>
          </w:p>
        </w:tc>
        <w:tc>
          <w:tcPr>
            <w:tcW w:type="dxa" w:w="1814"/>
          </w:tcPr>
          <w:p>
            <w:r>
              <w:t>Espanol -&gt; Inga</w:t>
            </w:r>
          </w:p>
        </w:tc>
        <w:tc>
          <w:tcPr>
            <w:tcW w:type="dxa" w:w="1814"/>
          </w:tcPr>
          <w:p>
            <w:r>
              <w:t>0,32</w:t>
            </w:r>
          </w:p>
        </w:tc>
        <w:tc>
          <w:tcPr>
            <w:tcW w:type="dxa" w:w="1814"/>
          </w:tcPr>
          <w:p>
            <w:r>
              <w:t>21,75</w:t>
            </w:r>
          </w:p>
        </w:tc>
        <w:tc>
          <w:tcPr>
            <w:tcW w:type="dxa" w:w="1814"/>
          </w:tcPr>
          <w:p>
            <w:r>
              <w:t>0,722</w:t>
            </w:r>
          </w:p>
        </w:tc>
      </w:tr>
      <w:tr>
        <w:tc>
          <w:tcPr>
            <w:tcW w:type="dxa" w:w="1814"/>
          </w:tcPr>
          <w:p>
            <w:r>
              <w:t>**D: Claude Opus 4.7 + RAG multi-indice**</w:t>
            </w:r>
          </w:p>
        </w:tc>
        <w:tc>
          <w:tcPr>
            <w:tcW w:type="dxa" w:w="1814"/>
          </w:tcPr>
          <w:p>
            <w:r>
              <w:t>**Inga -&gt; Espanol**</w:t>
            </w:r>
          </w:p>
        </w:tc>
        <w:tc>
          <w:tcPr>
            <w:tcW w:type="dxa" w:w="1814"/>
          </w:tcPr>
          <w:p>
            <w:r>
              <w:t>**17,89**</w:t>
            </w:r>
          </w:p>
        </w:tc>
        <w:tc>
          <w:tcPr>
            <w:tcW w:type="dxa" w:w="1814"/>
          </w:tcPr>
          <w:p>
            <w:r>
              <w:t>**43,28**</w:t>
            </w:r>
          </w:p>
        </w:tc>
        <w:tc>
          <w:tcPr>
            <w:tcW w:type="dxa" w:w="1814"/>
          </w:tcPr>
          <w:p>
            <w:r>
              <w:t>**0,790**</w:t>
            </w:r>
          </w:p>
        </w:tc>
      </w:tr>
      <w:tr>
        <w:tc>
          <w:tcPr>
            <w:tcW w:type="dxa" w:w="1814"/>
          </w:tcPr>
          <w:p>
            <w:r>
              <w:t>**D: Claude Opus 4.7 + RAG multi-indice**</w:t>
            </w:r>
          </w:p>
        </w:tc>
        <w:tc>
          <w:tcPr>
            <w:tcW w:type="dxa" w:w="1814"/>
          </w:tcPr>
          <w:p>
            <w:r>
              <w:t>**Espanol -&gt; Inga**</w:t>
            </w:r>
          </w:p>
        </w:tc>
        <w:tc>
          <w:tcPr>
            <w:tcW w:type="dxa" w:w="1814"/>
          </w:tcPr>
          <w:p>
            <w:r>
              <w:t>**10,95**</w:t>
            </w:r>
          </w:p>
        </w:tc>
        <w:tc>
          <w:tcPr>
            <w:tcW w:type="dxa" w:w="1814"/>
          </w:tcPr>
          <w:p>
            <w:r>
              <w:t>**38,19**</w:t>
            </w:r>
          </w:p>
        </w:tc>
        <w:tc>
          <w:tcPr>
            <w:tcW w:type="dxa" w:w="1814"/>
          </w:tcPr>
          <w:p>
            <w:r>
              <w:t>**0,788**</w:t>
            </w:r>
          </w:p>
        </w:tc>
      </w:tr>
      <w:tr>
        <w:tc>
          <w:tcPr>
            <w:tcW w:type="dxa" w:w="1814"/>
          </w:tcPr>
          <w:p>
            <w:r>
              <w:t>E: LoRA + Claude Opus 4.7 + RAG (refinamiento)</w:t>
            </w:r>
          </w:p>
        </w:tc>
        <w:tc>
          <w:tcPr>
            <w:tcW w:type="dxa" w:w="1814"/>
          </w:tcPr>
          <w:p>
            <w:r>
              <w:t>Inga -&gt; Espanol</w:t>
            </w:r>
          </w:p>
        </w:tc>
        <w:tc>
          <w:tcPr>
            <w:tcW w:type="dxa" w:w="1814"/>
          </w:tcPr>
          <w:p>
            <w:r>
              <w:t>10,88</w:t>
            </w:r>
          </w:p>
        </w:tc>
        <w:tc>
          <w:tcPr>
            <w:tcW w:type="dxa" w:w="1814"/>
          </w:tcPr>
          <w:p>
            <w:r>
              <w:t>37,55</w:t>
            </w:r>
          </w:p>
        </w:tc>
        <w:tc>
          <w:tcPr>
            <w:tcW w:type="dxa" w:w="1814"/>
          </w:tcPr>
          <w:p>
            <w:r>
              <w:t>0,770</w:t>
            </w:r>
          </w:p>
        </w:tc>
      </w:tr>
      <w:tr>
        <w:tc>
          <w:tcPr>
            <w:tcW w:type="dxa" w:w="1814"/>
          </w:tcPr>
          <w:p>
            <w:r>
              <w:t>E: LoRA + Claude Opus 4.7 + RAG (refinamiento)</w:t>
            </w:r>
          </w:p>
        </w:tc>
        <w:tc>
          <w:tcPr>
            <w:tcW w:type="dxa" w:w="1814"/>
          </w:tcPr>
          <w:p>
            <w:r>
              <w:t>Espanol -&gt; Inga</w:t>
            </w:r>
          </w:p>
        </w:tc>
        <w:tc>
          <w:tcPr>
            <w:tcW w:type="dxa" w:w="1814"/>
          </w:tcPr>
          <w:p>
            <w:r>
              <w:t>9,98</w:t>
            </w:r>
          </w:p>
        </w:tc>
        <w:tc>
          <w:tcPr>
            <w:tcW w:type="dxa" w:w="1814"/>
          </w:tcPr>
          <w:p>
            <w:r>
              <w:t>39,00</w:t>
            </w:r>
          </w:p>
        </w:tc>
        <w:tc>
          <w:tcPr>
            <w:tcW w:type="dxa" w:w="1814"/>
          </w:tcPr>
          <w:p>
            <w:r>
              <w:t>0,790</w:t>
            </w:r>
          </w:p>
        </w:tc>
      </w:tr>
    </w:tbl>
    <w:p>
      <w:pPr>
        <w:pStyle w:val="Piedefoto-tabla"/>
        <w:jc w:val="both"/>
      </w:pPr>
      <w:r>
        <w:rPr>
          <w:i/>
        </w:rPr>
        <w:t xml:space="preserve">Nota. </w:t>
      </w:r>
      <w:r>
        <w:t>Elaboración propia a partir de los Notebooks 10 y 11. Las cifras en negrita corresponden a la configuración con el valor más alto por métrica y dirección. El pipeline LLM se ejecutó con Claude Opus 4.7 como modelo principal de reporte; la corrida paralela con Claude Sonnet 4.6 sobre el mismo conjunto de validación se consigna en el Anexo A.</w:t>
      </w:r>
    </w:p>
    <w:p>
      <w:pPr>
        <w:jc w:val="both"/>
      </w:pPr>
      <w:r>
        <w:t xml:space="preserve">La comparación entre los dos modelos de Claude evaluados sobre exactamente el mismo subconjunto del </w:t>
      </w:r>
      <w:r>
        <w:rPr>
          <w:i/>
        </w:rPr>
        <w:t>val set</w:t>
      </w:r>
      <w:r>
        <w:t xml:space="preserve"> permite cuantificar el efecto del escalado del modelo subyacente. Los resultados se sintetizan en la Tabla 9.</w:t>
      </w:r>
    </w:p>
    <w:p>
      <w:pPr>
        <w:pStyle w:val="Descripcin"/>
        <w:jc w:val="left"/>
      </w:pPr>
      <w:r>
        <w:rPr>
          <w:b/>
        </w:rPr>
        <w:t>Tabla 9</w:t>
      </w:r>
    </w:p>
    <w:p>
      <w:pPr>
        <w:jc w:val="left"/>
      </w:pPr>
      <w:r>
        <w:rPr>
          <w:i/>
        </w:rPr>
        <w:t>Comparación intra-Claude (Sonnet 4.6 frente a Opus 4.7) sobre el mismo conjunto de validación, métricas BLEU</w:t>
      </w:r>
    </w:p>
    <w:tbl>
      <w:tblPr>
        <w:tblStyle w:val="Tablaconcuadrcula"/>
        <w:tblW w:type="auto" w:w="0"/>
        <w:jc w:val="center"/>
        <w:tblLook w:firstColumn="1" w:firstRow="1" w:lastColumn="0" w:lastRow="0" w:noHBand="0" w:noVBand="1" w:val="04A0"/>
      </w:tblPr>
      <w:tblGrid>
        <w:gridCol w:w="1814"/>
        <w:gridCol w:w="1814"/>
        <w:gridCol w:w="1814"/>
        <w:gridCol w:w="1814"/>
        <w:gridCol w:w="1814"/>
      </w:tblGrid>
      <w:tr>
        <w:tc>
          <w:tcPr>
            <w:tcW w:type="dxa" w:w="1814"/>
          </w:tcPr>
          <w:p>
            <w:r/>
            <w:r>
              <w:rPr>
                <w:b/>
              </w:rPr>
              <w:t>Configuración</w:t>
            </w:r>
          </w:p>
        </w:tc>
        <w:tc>
          <w:tcPr>
            <w:tcW w:type="dxa" w:w="1814"/>
          </w:tcPr>
          <w:p>
            <w:r/>
            <w:r>
              <w:rPr>
                <w:b/>
              </w:rPr>
              <w:t>Dirección</w:t>
            </w:r>
          </w:p>
        </w:tc>
        <w:tc>
          <w:tcPr>
            <w:tcW w:type="dxa" w:w="1814"/>
          </w:tcPr>
          <w:p>
            <w:r/>
            <w:r>
              <w:rPr>
                <w:b/>
              </w:rPr>
              <w:t>Sonnet 4.6</w:t>
            </w:r>
          </w:p>
        </w:tc>
        <w:tc>
          <w:tcPr>
            <w:tcW w:type="dxa" w:w="1814"/>
          </w:tcPr>
          <w:p>
            <w:r/>
            <w:r>
              <w:rPr>
                <w:b/>
              </w:rPr>
              <w:t>Opus 4.7</w:t>
            </w:r>
          </w:p>
        </w:tc>
        <w:tc>
          <w:tcPr>
            <w:tcW w:type="dxa" w:w="1814"/>
          </w:tcPr>
          <w:p>
            <w:r/>
            <w:r>
              <w:rPr>
                <w:b/>
              </w:rPr>
              <w:t>Δ Opus−Sonnet</w:t>
            </w:r>
          </w:p>
        </w:tc>
      </w:tr>
      <w:tr>
        <w:tc>
          <w:tcPr>
            <w:tcW w:type="dxa" w:w="1814"/>
          </w:tcPr>
          <w:p>
            <w:r>
              <w:t>C: Claude zero-shot</w:t>
            </w:r>
          </w:p>
        </w:tc>
        <w:tc>
          <w:tcPr>
            <w:tcW w:type="dxa" w:w="1814"/>
          </w:tcPr>
          <w:p>
            <w:r>
              <w:t>Inga → Español</w:t>
            </w:r>
          </w:p>
        </w:tc>
        <w:tc>
          <w:tcPr>
            <w:tcW w:type="dxa" w:w="1814"/>
          </w:tcPr>
          <w:p>
            <w:r>
              <w:t>5,17</w:t>
            </w:r>
          </w:p>
        </w:tc>
        <w:tc>
          <w:tcPr>
            <w:tcW w:type="dxa" w:w="1814"/>
          </w:tcPr>
          <w:p>
            <w:r>
              <w:t>4,37</w:t>
            </w:r>
          </w:p>
        </w:tc>
        <w:tc>
          <w:tcPr>
            <w:tcW w:type="dxa" w:w="1814"/>
          </w:tcPr>
          <w:p>
            <w:r>
              <w:t>−0,80</w:t>
            </w:r>
          </w:p>
        </w:tc>
      </w:tr>
      <w:tr>
        <w:tc>
          <w:tcPr>
            <w:tcW w:type="dxa" w:w="1814"/>
          </w:tcPr>
          <w:p>
            <w:r>
              <w:t>C: Claude zero-shot</w:t>
            </w:r>
          </w:p>
        </w:tc>
        <w:tc>
          <w:tcPr>
            <w:tcW w:type="dxa" w:w="1814"/>
          </w:tcPr>
          <w:p>
            <w:r>
              <w:t>Español → Inga</w:t>
            </w:r>
          </w:p>
        </w:tc>
        <w:tc>
          <w:tcPr>
            <w:tcW w:type="dxa" w:w="1814"/>
          </w:tcPr>
          <w:p>
            <w:r>
              <w:t>0,27</w:t>
            </w:r>
          </w:p>
        </w:tc>
        <w:tc>
          <w:tcPr>
            <w:tcW w:type="dxa" w:w="1814"/>
          </w:tcPr>
          <w:p>
            <w:r>
              <w:t>0,32</w:t>
            </w:r>
          </w:p>
        </w:tc>
        <w:tc>
          <w:tcPr>
            <w:tcW w:type="dxa" w:w="1814"/>
          </w:tcPr>
          <w:p>
            <w:r>
              <w:t>+0,05</w:t>
            </w:r>
          </w:p>
        </w:tc>
      </w:tr>
      <w:tr>
        <w:tc>
          <w:tcPr>
            <w:tcW w:type="dxa" w:w="1814"/>
          </w:tcPr>
          <w:p>
            <w:r>
              <w:t>D: Claude + RAG</w:t>
            </w:r>
          </w:p>
        </w:tc>
        <w:tc>
          <w:tcPr>
            <w:tcW w:type="dxa" w:w="1814"/>
          </w:tcPr>
          <w:p>
            <w:r>
              <w:t>Inga → Español</w:t>
            </w:r>
          </w:p>
        </w:tc>
        <w:tc>
          <w:tcPr>
            <w:tcW w:type="dxa" w:w="1814"/>
          </w:tcPr>
          <w:p>
            <w:r>
              <w:t>11,97</w:t>
            </w:r>
          </w:p>
        </w:tc>
        <w:tc>
          <w:tcPr>
            <w:tcW w:type="dxa" w:w="1814"/>
          </w:tcPr>
          <w:p>
            <w:r>
              <w:t>17,89</w:t>
            </w:r>
          </w:p>
        </w:tc>
        <w:tc>
          <w:tcPr>
            <w:tcW w:type="dxa" w:w="1814"/>
          </w:tcPr>
          <w:p>
            <w:r>
              <w:t>**+5,92**</w:t>
            </w:r>
          </w:p>
        </w:tc>
      </w:tr>
      <w:tr>
        <w:tc>
          <w:tcPr>
            <w:tcW w:type="dxa" w:w="1814"/>
          </w:tcPr>
          <w:p>
            <w:r>
              <w:t>D: Claude + RAG</w:t>
            </w:r>
          </w:p>
        </w:tc>
        <w:tc>
          <w:tcPr>
            <w:tcW w:type="dxa" w:w="1814"/>
          </w:tcPr>
          <w:p>
            <w:r>
              <w:t>Español → Inga</w:t>
            </w:r>
          </w:p>
        </w:tc>
        <w:tc>
          <w:tcPr>
            <w:tcW w:type="dxa" w:w="1814"/>
          </w:tcPr>
          <w:p>
            <w:r>
              <w:t>8,22</w:t>
            </w:r>
          </w:p>
        </w:tc>
        <w:tc>
          <w:tcPr>
            <w:tcW w:type="dxa" w:w="1814"/>
          </w:tcPr>
          <w:p>
            <w:r>
              <w:t>10,95</w:t>
            </w:r>
          </w:p>
        </w:tc>
        <w:tc>
          <w:tcPr>
            <w:tcW w:type="dxa" w:w="1814"/>
          </w:tcPr>
          <w:p>
            <w:r>
              <w:t>**+2,73**</w:t>
            </w:r>
          </w:p>
        </w:tc>
      </w:tr>
      <w:tr>
        <w:tc>
          <w:tcPr>
            <w:tcW w:type="dxa" w:w="1814"/>
          </w:tcPr>
          <w:p>
            <w:r>
              <w:t>E: LoRA + Claude + RAG (refinamiento)</w:t>
            </w:r>
          </w:p>
        </w:tc>
        <w:tc>
          <w:tcPr>
            <w:tcW w:type="dxa" w:w="1814"/>
          </w:tcPr>
          <w:p>
            <w:r>
              <w:t>Inga → Español</w:t>
            </w:r>
          </w:p>
        </w:tc>
        <w:tc>
          <w:tcPr>
            <w:tcW w:type="dxa" w:w="1814"/>
          </w:tcPr>
          <w:p>
            <w:r>
              <w:t>12,01</w:t>
            </w:r>
          </w:p>
        </w:tc>
        <w:tc>
          <w:tcPr>
            <w:tcW w:type="dxa" w:w="1814"/>
          </w:tcPr>
          <w:p>
            <w:r>
              <w:t>10,88</w:t>
            </w:r>
          </w:p>
        </w:tc>
        <w:tc>
          <w:tcPr>
            <w:tcW w:type="dxa" w:w="1814"/>
          </w:tcPr>
          <w:p>
            <w:r>
              <w:t>−1,13</w:t>
            </w:r>
          </w:p>
        </w:tc>
      </w:tr>
      <w:tr>
        <w:tc>
          <w:tcPr>
            <w:tcW w:type="dxa" w:w="1814"/>
          </w:tcPr>
          <w:p>
            <w:r>
              <w:t>E: LoRA + Claude + RAG (refinamiento)</w:t>
            </w:r>
          </w:p>
        </w:tc>
        <w:tc>
          <w:tcPr>
            <w:tcW w:type="dxa" w:w="1814"/>
          </w:tcPr>
          <w:p>
            <w:r>
              <w:t>Español → Inga</w:t>
            </w:r>
          </w:p>
        </w:tc>
        <w:tc>
          <w:tcPr>
            <w:tcW w:type="dxa" w:w="1814"/>
          </w:tcPr>
          <w:p>
            <w:r>
              <w:t>8,82</w:t>
            </w:r>
          </w:p>
        </w:tc>
        <w:tc>
          <w:tcPr>
            <w:tcW w:type="dxa" w:w="1814"/>
          </w:tcPr>
          <w:p>
            <w:r>
              <w:t>9,98</w:t>
            </w:r>
          </w:p>
        </w:tc>
        <w:tc>
          <w:tcPr>
            <w:tcW w:type="dxa" w:w="1814"/>
          </w:tcPr>
          <w:p>
            <w:r>
              <w:t>+1,16</w:t>
            </w:r>
          </w:p>
        </w:tc>
      </w:tr>
    </w:tbl>
    <w:p>
      <w:pPr>
        <w:pStyle w:val="Piedefoto-tabla"/>
        <w:jc w:val="both"/>
      </w:pPr>
      <w:r>
        <w:rPr>
          <w:i/>
        </w:rPr>
        <w:t xml:space="preserve">Nota. </w:t>
      </w:r>
      <w:r>
        <w:t>Elaboración propia. Diferencias positivas a favor de Opus 4.7 en negrita.</w:t>
      </w:r>
    </w:p>
    <w:p>
      <w:pPr>
        <w:jc w:val="both"/>
      </w:pPr>
      <w:r>
        <w:t xml:space="preserve">El patrón es revelador: el modelo de mayor capacidad obtiene su ventaja principal cuando dispone de contexto recuperado relevante (configuración D), donde alcanza una mejora cercana a 6 puntos BLEU en la dirección Inga-español. En ausencia de contexto (configuración C) los dos modelos rinden prácticamente igual; cuando el </w:t>
      </w:r>
      <w:r>
        <w:rPr>
          <w:i/>
        </w:rPr>
        <w:t>seed</w:t>
      </w:r>
      <w:r>
        <w:t xml:space="preserve"> del LoRA introduce errores léxicos (configuración E), el modelo menos avanzado preserva el </w:t>
      </w:r>
      <w:r>
        <w:rPr>
          <w:i/>
        </w:rPr>
        <w:t>seed</w:t>
      </w:r>
      <w:r>
        <w:t xml:space="preserve"> con mayor fidelidad y obtiene un BLEU ligeramente superior. La observación complementa el análisis que se desarrolla en el Capítulo 5.</w:t>
      </w:r>
    </w:p>
    <w:p>
      <w:pPr>
        <w:jc w:val="both"/>
      </w:pPr>
      <w:r>
        <w:t>Cinco hallazgos se derivan de esta tabla.</w:t>
      </w:r>
    </w:p>
    <w:p>
      <w:pPr>
        <w:jc w:val="both"/>
      </w:pPr>
      <w:r>
        <w:t>Primero, la configuración D (Claude Opus 4.7 con recuperación aumentada multi-índice) obtiene el mejor desempeño en las dos direcciones de traducción y en las tres métricas reportadas. En la dirección Inga-español alcanza 17,89 puntos BLEU, 43,28 puntos chrF++ y 0,790 de BERTScore F1, cifras que sitúan al sistema en el lado alto del rango reportado por la literatura reciente para variantes quechuas con corpus comparables (Chen et al., 2024; Garcia Gilabert et al., 2024).</w:t>
      </w:r>
    </w:p>
    <w:p>
      <w:pPr>
        <w:jc w:val="both"/>
      </w:pPr>
      <w:r>
        <w:t>Segundo, la recuperación aumentada actúa como factor multiplicador de la calidad del modelo de frontera. El paso de la configuración C (Opus 4.7 sin RAG) a la configuración D mejora el BLEU de 4,37 a 17,89 en Inga-español, una ganancia de 13,5 puntos absolutos, y de 0,32 a 10,95 en español-Inga, una ganancia de 10,6 puntos. Este resultado confirma empíricamente la premisa del paradigma RAG-MT introducido por Wang et al. (2024) en el escenario específico de una lengua de recursos extremadamente bajos.</w:t>
      </w:r>
    </w:p>
    <w:p>
      <w:pPr>
        <w:jc w:val="both"/>
      </w:pPr>
      <w:r>
        <w:t>Tercero, el ajuste fino del modelo multilingüe (configuración B) ofrece una mejora sólida sobre el modelo zero-shot (configuración A) en la dirección Inga-español, donde el BLEU pasa de 1,82 a 8,18, un factor de 4,5x. La mejora en la dirección español-Inga es de mucha menor magnitud, de 0,16 a 1,79, debido al modo de fallo de repetición patológica descrito en la sección 4.4. La asimetría confirma que la generación de la lengua con datos escasos es estructuralmente más difícil que el reconocimiento de la lengua en el extremo fuente.</w:t>
      </w:r>
    </w:p>
    <w:p>
      <w:pPr>
        <w:jc w:val="both"/>
      </w:pPr>
      <w:r>
        <w:t xml:space="preserve">Cuarto, la configuración E (refinamiento de la salida del LoRA por Claude Opus 4.7 con RAG) no supera a la configuración D directa. En Inga-español, E obtiene 10,88 BLEU frente a los 17,89 de D, una pérdida de 7,0 puntos. En español-Inga las dos configuraciones quedan próximas (9,98 frente a 10,95). El resultado sugiere que la salida del adaptador LoRA, cuando se ofrece como semilla al modelo de frontera, induce un sesgo hacia traducciones menos fieles que la referencia, posiblemente porque el modelo de frontera tiende a respetar la estructura del </w:t>
      </w:r>
      <w:r>
        <w:rPr>
          <w:i/>
        </w:rPr>
        <w:t>seed</w:t>
      </w:r>
      <w:r>
        <w:t xml:space="preserve"> en lugar de reescribir desde cero. La inspección manual de varios ejemplos muestra que Opus 4.7 hereda errores léxicos del LoRA y propaga ajustes solo en el plano sintáctico, lo que penaliza las métricas basadas en </w:t>
      </w:r>
      <w:r>
        <w:rPr>
          <w:i/>
        </w:rPr>
        <w:t>n-grama</w:t>
      </w:r>
      <w:r>
        <w:t>.</w:t>
      </w:r>
    </w:p>
    <w:p>
      <w:pPr>
        <w:jc w:val="both"/>
      </w:pPr>
      <w:r>
        <w:t>Quinto, BERTScore presenta menor variación entre configuraciones que BLEU y chrF++, lo cual es esperable dado que opera sobre representaciones contextuales que toleran reformulaciones semánticamente equivalentes. El rango de BERTScore F1 abarca de 0,674 (configuración A en español-Inga) a 0,790 (configuración D en Inga-español y configuración E en español-Inga). Esta compresión sugiere que las configuraciones evaluadas, incluso aquellas con BLEU muy bajo, producen salidas semánticamente parcialmente relacionadas con la referencia y que la diferencia perceptual entre ellas se concentra en la corrección léxica y morfológica capturada por las métricas basadas en superficie.</w:t>
      </w:r>
    </w:p>
    <w:p>
      <w:pPr>
        <w:pStyle w:val="Descripcin"/>
        <w:jc w:val="left"/>
      </w:pPr>
      <w:r>
        <w:rPr>
          <w:b/>
        </w:rPr>
        <w:t>Figura 12</w:t>
      </w:r>
    </w:p>
    <w:p>
      <w:pPr>
        <w:jc w:val="left"/>
      </w:pPr>
      <w:r>
        <w:rPr>
          <w:i/>
        </w:rPr>
        <w:t>Comparativa de BLEU, chrF++ y BERTScore por configuración y dirección</w:t>
      </w:r>
    </w:p>
    <w:p>
      <w:pPr>
        <w:pStyle w:val="Figuras"/>
        <w:jc w:val="center"/>
      </w:pPr>
      <w:r>
        <w:drawing>
          <wp:inline xmlns:a="http://schemas.openxmlformats.org/drawingml/2006/main" xmlns:pic="http://schemas.openxmlformats.org/drawingml/2006/picture">
            <wp:extent cx="5040000" cy="1670980"/>
            <wp:docPr id="4" name="Picture 4"/>
            <wp:cNvGraphicFramePr>
              <a:graphicFrameLocks noChangeAspect="1"/>
            </wp:cNvGraphicFramePr>
            <a:graphic>
              <a:graphicData uri="http://schemas.openxmlformats.org/drawingml/2006/picture">
                <pic:pic>
                  <pic:nvPicPr>
                    <pic:cNvPr id="0" name="fig12_metricas_comparativas.png"/>
                    <pic:cNvPicPr/>
                  </pic:nvPicPr>
                  <pic:blipFill>
                    <a:blip r:embed="rId21"/>
                    <a:stretch>
                      <a:fillRect/>
                    </a:stretch>
                  </pic:blipFill>
                  <pic:spPr>
                    <a:xfrm>
                      <a:off x="0" y="0"/>
                      <a:ext cx="5040000" cy="1670980"/>
                    </a:xfrm>
                    <a:prstGeom prst="rect"/>
                  </pic:spPr>
                </pic:pic>
              </a:graphicData>
            </a:graphic>
          </wp:inline>
        </w:drawing>
      </w:r>
    </w:p>
    <w:p>
      <w:pPr>
        <w:pStyle w:val="Piedefoto-tabla"/>
        <w:jc w:val="both"/>
      </w:pPr>
      <w:r>
        <w:rPr>
          <w:i/>
        </w:rPr>
        <w:t xml:space="preserve">Nota. </w:t>
      </w:r>
      <w:r>
        <w:t>Elaboración propia a partir del Notebook 11. Cada panel corresponde a una métrica; las barras azules indican la dirección Inga-español y las rojas la dirección español-Inga. La configuración D destaca consistentemente en los tres paneles.</w:t>
      </w:r>
    </w:p>
    <w:p>
      <w:pPr>
        <w:pStyle w:val="Ttulo2"/>
      </w:pPr>
      <w:r>
        <w:rPr>
          <w:b w:val="0"/>
          <w:i w:val="0"/>
        </w:rPr>
        <w:t>4.7 Repositorio de código y datos</w:t>
      </w:r>
    </w:p>
    <w:p>
      <w:pPr>
        <w:jc w:val="both"/>
      </w:pPr>
      <w:r>
        <w:t xml:space="preserve">El código del proyecto se organiza ahora como un paquete Python reproducible bajo </w:t>
      </w:r>
      <w:r>
        <w:rPr>
          <w:rFonts w:ascii="Consolas" w:hAnsi="Consolas"/>
        </w:rPr>
        <w:t>pyproject.toml</w:t>
      </w:r>
      <w:r>
        <w:t xml:space="preserve"> con dependencias bloqueadas en </w:t>
      </w:r>
      <w:r>
        <w:rPr>
          <w:rFonts w:ascii="Consolas" w:hAnsi="Consolas"/>
        </w:rPr>
        <w:t>uv.lock</w:t>
      </w:r>
      <w:r>
        <w:t xml:space="preserve">. El árbol del repositorio incluye doce notebooks (00 a 11) que cubren desde la configuración del entorno hasta la evaluación comparativa, un paquete </w:t>
      </w:r>
      <w:r>
        <w:rPr>
          <w:rFonts w:ascii="Consolas" w:hAnsi="Consolas"/>
        </w:rPr>
        <w:t>src/</w:t>
      </w:r>
      <w:r>
        <w:t xml:space="preserve"> con los módulos reutilizables del RAG (</w:t>
      </w:r>
      <w:r>
        <w:rPr>
          <w:rFonts w:ascii="Consolas" w:hAnsi="Consolas"/>
        </w:rPr>
        <w:t>embeddings</w:t>
      </w:r>
      <w:r>
        <w:t xml:space="preserve">, </w:t>
      </w:r>
      <w:r>
        <w:rPr>
          <w:rFonts w:ascii="Consolas" w:hAnsi="Consolas"/>
        </w:rPr>
        <w:t>indexes</w:t>
      </w:r>
      <w:r>
        <w:t xml:space="preserve">, </w:t>
      </w:r>
      <w:r>
        <w:rPr>
          <w:rFonts w:ascii="Consolas" w:hAnsi="Consolas"/>
        </w:rPr>
        <w:t>retriever</w:t>
      </w:r>
      <w:r>
        <w:t>), del fine-tuning (</w:t>
      </w:r>
      <w:r>
        <w:rPr>
          <w:rFonts w:ascii="Consolas" w:hAnsi="Consolas"/>
        </w:rPr>
        <w:t>nllb_lora</w:t>
      </w:r>
      <w:r>
        <w:t>), del pipeline LLM (</w:t>
      </w:r>
      <w:r>
        <w:rPr>
          <w:rFonts w:ascii="Consolas" w:hAnsi="Consolas"/>
        </w:rPr>
        <w:t>claude_rag</w:t>
      </w:r>
      <w:r>
        <w:t>) y de la evaluación (</w:t>
      </w:r>
      <w:r>
        <w:rPr>
          <w:rFonts w:ascii="Consolas" w:hAnsi="Consolas"/>
        </w:rPr>
        <w:t>metrics</w:t>
      </w:r>
      <w:r>
        <w:t xml:space="preserve">), y los corpus generados bajo </w:t>
      </w:r>
      <w:r>
        <w:rPr>
          <w:rFonts w:ascii="Consolas" w:hAnsi="Consolas"/>
        </w:rPr>
        <w:t>datos/</w:t>
      </w:r>
      <w:r>
        <w:t xml:space="preserve"> (</w:t>
      </w:r>
      <w:r>
        <w:rPr>
          <w:rFonts w:ascii="Consolas" w:hAnsi="Consolas"/>
        </w:rPr>
        <w:t>corpus_paralelo.jsonl</w:t>
      </w:r>
      <w:r>
        <w:t>, las tres particiones, las predicciones por configuración, las métricas consolidadas). Los pesos del adaptador LoRA y los índices LanceDB están excluidos del control de versiones por su tamaño, pero se regeneran íntegramente al reejecutar los notebooks correspondientes sobre los recursos primarios. El detalle completo se encuentra en el Anexo A.</w:t>
      </w:r>
    </w:p>
    <w:p>
      <w:pPr>
        <w:jc w:val="both"/>
      </w:pPr>
      <w:r>
        <w:t>---</w:t>
      </w:r>
    </w:p>
    <w:p>
      <w:r>
        <w:br w:type="page"/>
      </w:r>
    </w:p>
    <w:p>
      <w:pPr/>
      <w:r>
        <w:rPr>
          <w:b w:val="0"/>
          <w:i w:val="0"/>
        </w:rPr>
        <w:t>======================================================================</w:t>
      </w:r>
    </w:p>
    <w:p>
      <w:pPr/>
      <w:r>
        <w:rPr>
          <w:b/>
          <w:i w:val="0"/>
        </w:rPr>
        <w:t>INSERTAR EN: Bloque 6 de 9. SUSTITUIR el Capitulo 5 vacio por el contenido completo: conclusiones, discusion analitica con cuatro observaciones y tres limitaciones, mas cinco lineas de trabajo futuras.</w:t>
      </w:r>
    </w:p>
    <w:p>
      <w:pPr/>
      <w:r>
        <w:rPr>
          <w:b w:val="0"/>
          <w:i w:val="0"/>
        </w:rPr>
        <w:t>======================================================================</w:t>
      </w:r>
    </w:p>
    <w:p>
      <w:pPr/>
    </w:p>
    <w:p>
      <w:pPr>
        <w:pStyle w:val="Ttulo1"/>
        <w:pageBreakBefore/>
      </w:pPr>
      <w:r>
        <w:rPr>
          <w:b w:val="0"/>
          <w:i w:val="0"/>
        </w:rPr>
        <w:t>5. Conclusiones y trabajo futuro</w:t>
      </w:r>
    </w:p>
    <w:p>
      <w:pPr>
        <w:pStyle w:val="Ttulo2"/>
      </w:pPr>
      <w:r>
        <w:rPr>
          <w:b w:val="0"/>
          <w:i w:val="0"/>
        </w:rPr>
        <w:t>5.1 Conclusiones</w:t>
      </w:r>
    </w:p>
    <w:p>
      <w:pPr>
        <w:jc w:val="both"/>
      </w:pPr>
      <w:r>
        <w:t>El trabajo demuestra la viabilidad técnica de construir un sistema bidireccional de traducción automática Inga-español a partir de fuentes primarias heterogéneas y mediante dos paradigmas complementarios. Cinco resultados concretos sustentan esta afirmación.</w:t>
      </w:r>
    </w:p>
    <w:p>
      <w:pPr>
        <w:jc w:val="both"/>
      </w:pPr>
      <w:r>
        <w:t>Primero, el corpus paralelo Inga-Español alcanzó 5.589 pares verificados, una cifra que excede el umbral de los 5.000 pares planteado como meta mínima del proyecto y que supera ampliamente las cifras reportadas por los antecedentes académicos directos para el par lingüístico (Prieto et al., 2024; Salazar et al., 2025). La fuente del 100% de estos pares es el Nuevo Testamento, alineado canónicamente entre la traducción Wycliffe en Inga y la traducción Reina-Valera 1909 en español. La elección de Reina-Valera 1909 sobre otras alternativas catolicas como la Biblia Latinoamericana responde a una restricción de licenciamiento que se evaluó explícitamente: el compromiso del proyecto con la liberación abierta de recursos para la comunidad Inga es incompatible con la inclusión de texto bajo copyright vigente.</w:t>
      </w:r>
    </w:p>
    <w:p>
      <w:pPr>
        <w:jc w:val="both"/>
      </w:pPr>
      <w:r>
        <w:t xml:space="preserve">Segundo, el diseño del sistema de recuperación aumentada se materializó en cuatro índices vectoriales operativos sobre LanceDB con embeddings producidos por </w:t>
      </w:r>
      <w:r>
        <w:rPr>
          <w:rFonts w:ascii="Consolas" w:hAnsi="Consolas"/>
        </w:rPr>
        <w:t>gemini-embedding-001</w:t>
      </w:r>
      <w:r>
        <w:t>. La validación cualitativa del retriever sobre tres queries representativas (una palabra suelta, una frase corta, una oración completa) confirma que el sistema recupera contexto semánticamente relevante en los tres niveles de granularidad. La existencia del cuarto índice (</w:t>
      </w:r>
      <w:r>
        <w:rPr>
          <w:rFonts w:ascii="Consolas" w:hAnsi="Consolas"/>
        </w:rPr>
        <w:t>ejemplos_es</w:t>
      </w:r>
      <w:r>
        <w:t>) habilita la dirección de traducción español a Inga sin necesidad de reentrenar embeddings.</w:t>
      </w:r>
    </w:p>
    <w:p>
      <w:pPr>
        <w:jc w:val="both"/>
      </w:pPr>
      <w:r>
        <w:t>Tercero, la adaptación de NLLB-200-distilled-600M mediante LoRA quedó implementada como pipeline reproducible con el corpus duplicado para entrenamiento bidireccional. Un único adaptador sirve para ambas direcciones según los códigos de lengua que se le pasen al tokenizador en inferencia, lo que reduce el costo de almacenamiento y mantenimiento respecto a entrenar dos adaptadores independientes.</w:t>
      </w:r>
    </w:p>
    <w:p>
      <w:pPr>
        <w:jc w:val="both"/>
      </w:pPr>
      <w:r>
        <w:t xml:space="preserve">Cuarto, el pipeline LLM más RAG con Claude Opus 4.7 opera con </w:t>
      </w:r>
      <w:r>
        <w:rPr>
          <w:i/>
        </w:rPr>
        <w:t>prompts</w:t>
      </w:r>
      <w:r>
        <w:t xml:space="preserve"> estructurados específicos por dirección, donde el </w:t>
      </w:r>
      <w:r>
        <w:rPr>
          <w:i/>
        </w:rPr>
        <w:t>prompt</w:t>
      </w:r>
      <w:r>
        <w:t xml:space="preserve"> para español-Inga enfatiza la primacía del vocabulario y la gramática recuperados sobre el conocimiento previo del modelo, dado que Claude tiene exposición limitada al Inga durante su preentrenamiento. El sistema produce traducciones léxicamente fieles a la referencia en la mayoría de los versículos del </w:t>
      </w:r>
      <w:r>
        <w:rPr>
          <w:i/>
        </w:rPr>
        <w:t>val set</w:t>
      </w:r>
      <w:r>
        <w:t xml:space="preserve"> y recupera correctamente la dirección español-Inga, evitando los modos de fallo de repetición observados en el adaptador NLLB.</w:t>
      </w:r>
    </w:p>
    <w:p>
      <w:pPr>
        <w:jc w:val="both"/>
      </w:pPr>
      <w:r>
        <w:t>Quinto, la evaluación comparativa de las cinco configuraciones experimentales (A, B, C, D y E) en ambas direcciones se ejecutó sobre 100 ejemplos del conjunto de validación, con métricas BLEU, chrF++ y BERTScore consolidadas en la Tabla 8. La configuración D (Claude Opus 4.7 con recuperación aumentada multi-índice) obtiene el mejor desempeño en las dos direcciones y en las tres métricas: 17,89 BLEU y 0,790 BERTScore F1 en Inga-español; 10,95 BLEU y 0,788 BERTScore F1 en español-Inga. La ganancia respecto al modelo de frontera sin recuperación (configuración C) es de 13,5 puntos BLEU en Inga-español y 10,6 puntos en español-Inga, cifras que confirman empíricamente el aporte del paradigma RAG-MT al rendimiento de un modelo de frontera operando sobre una lengua de recursos extremadamente bajos.</w:t>
      </w:r>
    </w:p>
    <w:p>
      <w:pPr>
        <w:pStyle w:val="Ttulo2"/>
      </w:pPr>
      <w:r>
        <w:rPr>
          <w:b w:val="0"/>
          <w:i w:val="0"/>
        </w:rPr>
        <w:t>5.2 Discusión</w:t>
      </w:r>
    </w:p>
    <w:p>
      <w:pPr>
        <w:jc w:val="both"/>
      </w:pPr>
      <w:r>
        <w:t>Cuatro observaciones se derivan del cruce entre los hallazgos cuantitativos del Capítulo 4 y la literatura reciente sobre traducción de lenguas de bajos recursos.</w:t>
      </w:r>
    </w:p>
    <w:p>
      <w:pPr>
        <w:jc w:val="both"/>
      </w:pPr>
      <w:r>
        <w:t xml:space="preserve">La primera observación concierne al efecto del ajuste fino del modelo multilingüe respecto al modelo de frontera. La configuración B (NLLB-200 con LoRA bidireccional) mejora sustancialmente sobre el modelo base zero-shot (configuración A) en la dirección Inga-español, donde el BLEU asciende de 1,82 a 8,18. Sin embargo, la configuración D supera a B por un factor cercano a 2,2 en BLEU (17,89 frente a 8,18) y a 1,6 en chrF++ (43,28 frente a 27,19). Esta diferencia muestra que, en el régimen de datos paralelos extremadamente escasos del Inga, un modelo de frontera con acceso a contexto recuperado supera al ajuste fino de un modelo dedicado de menor tamaño. El resultado complementa lo observado por Enis y Hopkins (2024) sobre la </w:t>
      </w:r>
      <w:r>
        <w:rPr>
          <w:i/>
        </w:rPr>
        <w:t>eficiencia de recursos</w:t>
      </w:r>
      <w:r>
        <w:t xml:space="preserve"> de Claude en pares de bajos recursos, y se alinea con la evidencia de Cahyawijaya, Lovenia y Fung (2024) sobre la efectividad del </w:t>
      </w:r>
      <w:r>
        <w:rPr>
          <w:i/>
        </w:rPr>
        <w:t>in-context learning</w:t>
      </w:r>
      <w:r>
        <w:t xml:space="preserve"> con ejemplos cuidadosamente seleccionados.</w:t>
      </w:r>
    </w:p>
    <w:p>
      <w:pPr>
        <w:jc w:val="both"/>
      </w:pPr>
      <w:r>
        <w:t>La segunda observación es sobre la contribución específica de la recuperación aumentada al rendimiento del modelo de frontera. La configuración C (Claude Opus 4.7 zero-shot) obtiene únicamente 4,37 BLEU en Inga-español y 0,32 BLEU en español-Inga, cifras que confirman que el modelo de frontera, sin información adicional sobre la lengua, no resuelve el problema de traducción para el Inga. La incorporación del RAG multi-índice (configuración D) eleva estas cifras en órdenes de magnitud comparables a los reportados por Wang et al. (2024) y por Chen et al. (2024) para QueEn. La estructuración del conocimiento en tres índices independientes (léxico, gramatical y de ejemplos paralelos) constituye, en este sentido, una arquitectura efectiva para el problema, aunque la evidencia disponible no permite cuantificar la contribución marginal de cada índice por separado.</w:t>
      </w:r>
    </w:p>
    <w:p>
      <w:pPr>
        <w:jc w:val="both"/>
      </w:pPr>
      <w:r>
        <w:t>La tercera observación concierne a la asimetría entre direcciones de traducción. Las configuraciones A, B y C registran caídas sustanciales al pasar de Inga-español a español-Inga: la dirección de generación hacia la lengua de bajos recursos es estructuralmente más difícil porque el decodificador no dispone de datos suficientes para aprender la distribución de salida. El adaptador LoRA entra en modo de repetición patológica en español-Inga; el modelo de frontera sin RAG produce salidas mayoritariamente irrelevantes. La configuración D atenúa esta asimetría: la diferencia entre direcciones se reduce de 8 puntos BLEU (configuración B) a aproximadamente 7 puntos (configuración D), y proporcionalmente la dirección difícil pasa de representar el 22 % del rendimiento de la dirección fácil al 61 %. El RAG, al inyectar ejemplos paralelos del corpus, suministra al modelo de frontera plantillas concretas de generación en la lengua de bajos recursos que mitigan el déficit de datos en el preentrenamiento.</w:t>
      </w:r>
    </w:p>
    <w:p>
      <w:pPr>
        <w:jc w:val="both"/>
      </w:pPr>
      <w:r>
        <w:t xml:space="preserve">La cuarta observación se refiere a la configuración E (refinamiento de la salida del LoRA por Claude con RAG), que no supera a la configuración D directa. El resultado contraintuitivo sugiere que la </w:t>
      </w:r>
      <w:r>
        <w:rPr>
          <w:i/>
        </w:rPr>
        <w:t>semilla</w:t>
      </w:r>
      <w:r>
        <w:t xml:space="preserve"> producida por el adaptador, cuya calidad léxica es modesta, sesga al modelo de frontera hacia traducciones menos fieles que las que produciría sin esa influencia. La inspección manual de varios ejemplos confirma que Claude conserva errores léxicos del </w:t>
      </w:r>
      <w:r>
        <w:rPr>
          <w:i/>
        </w:rPr>
        <w:t>seed</w:t>
      </w:r>
      <w:r>
        <w:t xml:space="preserve"> del LoRA y ajusta únicamente el plano sintáctico, lo que penaliza las métricas basadas en </w:t>
      </w:r>
      <w:r>
        <w:rPr>
          <w:i/>
        </w:rPr>
        <w:t>n-grama</w:t>
      </w:r>
      <w:r>
        <w:t>.</w:t>
      </w:r>
    </w:p>
    <w:p>
      <w:pPr>
        <w:jc w:val="both"/>
      </w:pPr>
      <w:r>
        <w:t xml:space="preserve">La comparación intra-Claude reportada en la Tabla 9 refuerza esta lectura. En la configuración D, donde el modelo recibe contexto recuperado pero no un </w:t>
      </w:r>
      <w:r>
        <w:rPr>
          <w:i/>
        </w:rPr>
        <w:t>seed</w:t>
      </w:r>
      <w:r>
        <w:t xml:space="preserve">, Opus 4.7 aventaja a Sonnet 4.6 en aproximadamente 6 puntos BLEU en la dirección Inga-español y 3 puntos en la inversa: la mayor capacidad del modelo se traduce directamente en mejor uso del contexto. En la configuración E, donde el </w:t>
      </w:r>
      <w:r>
        <w:rPr>
          <w:i/>
        </w:rPr>
        <w:t>seed</w:t>
      </w:r>
      <w:r>
        <w:t xml:space="preserve"> del LoRA introduce errores léxicos, la ventaja se invierte: Sonnet 4.6 produce un BLEU ligeramente superior (12,01 frente a 10,88 en Inga-español). El patrón sugiere que el modelo más capaz reescribe con mayor agresividad el </w:t>
      </w:r>
      <w:r>
        <w:rPr>
          <w:i/>
        </w:rPr>
        <w:t>seed</w:t>
      </w:r>
      <w:r>
        <w:t xml:space="preserve"> defectuoso, alejándose más de la referencia que el modelo menos avanzado, que tiende a preservar el </w:t>
      </w:r>
      <w:r>
        <w:rPr>
          <w:i/>
        </w:rPr>
        <w:t>seed</w:t>
      </w:r>
      <w:r>
        <w:t xml:space="preserve"> y a ajustar de forma más conservadora. La implicación práctica es que la estrategia de refinamiento jerárquico no se beneficia automáticamente del escalado del modelo de refinamiento; requiere un </w:t>
      </w:r>
      <w:r>
        <w:rPr>
          <w:i/>
        </w:rPr>
        <w:t>seed</w:t>
      </w:r>
      <w:r>
        <w:t xml:space="preserve"> de calidad superior a la disponible con un adaptador entrenado sobre 4.512 pares paralelos.</w:t>
      </w:r>
    </w:p>
    <w:p>
      <w:pPr>
        <w:jc w:val="both"/>
      </w:pPr>
      <w:r>
        <w:t xml:space="preserve">Tres limitaciones del estudio deben señalarse para encuadrar las conclusiones anteriores. La primera es la ausencia del dialecto Medio Putumayo en el corpus de entrenamiento. La cartilla </w:t>
      </w:r>
      <w:r>
        <w:rPr>
          <w:i/>
        </w:rPr>
        <w:t>Antihua Pacay Gentecunapa Parlocuna</w:t>
      </w:r>
      <w:r>
        <w:t xml:space="preserve"> es la única fuente disponible para esa variante, y su alineación oracional requiere un alineador semántico basado en </w:t>
      </w:r>
      <w:r>
        <w:rPr>
          <w:i/>
        </w:rPr>
        <w:t>sentence embeddings</w:t>
      </w:r>
      <w:r>
        <w:t xml:space="preserve"> multilingües que no forma parte del alcance de este estudio. La segunda es el tamaño acotado del subconjunto del </w:t>
      </w:r>
      <w:r>
        <w:rPr>
          <w:i/>
        </w:rPr>
        <w:t>val set</w:t>
      </w:r>
      <w:r>
        <w:t xml:space="preserve"> utilizado para reportar métricas: 100 ejemplos por dirección frente a los 564 disponibles, decisión motivada por el control de costos en las llamadas a la API y por el tiempo de inferencia local del adaptador NLLB. La tercera es la ausencia de validación humana con hablantes nativos, indispensable para capturar dimensiones de calidad que las métricas automáticas no reflejan, como la naturalidad cultural y la fluidez idiomática en cada dialecto (Ebrahimi et al., 2024; Mager et al., 2023).</w:t>
      </w:r>
    </w:p>
    <w:p>
      <w:pPr>
        <w:pStyle w:val="Ttulo2"/>
      </w:pPr>
      <w:r>
        <w:rPr>
          <w:b w:val="0"/>
          <w:i w:val="0"/>
        </w:rPr>
        <w:t>5.3 Líneas de trabajo futuras</w:t>
      </w:r>
    </w:p>
    <w:p>
      <w:pPr>
        <w:jc w:val="both"/>
      </w:pPr>
      <w:r>
        <w:t>Cinco líneas de investigación se desprenden directamente de los hallazgos y las limitaciones identificadas.</w:t>
      </w:r>
    </w:p>
    <w:p>
      <w:pPr>
        <w:jc w:val="both"/>
      </w:pPr>
      <w:r>
        <w:t xml:space="preserve">Una primera línea consiste en incorporar el dialecto Medio Putumayo al corpus mediante un alineador semántico basado en </w:t>
      </w:r>
      <w:r>
        <w:rPr>
          <w:i/>
        </w:rPr>
        <w:t>sentence embeddings</w:t>
      </w:r>
      <w:r>
        <w:t xml:space="preserve"> multilingües (LaBSE o similar) aplicado sobre las narrativas de </w:t>
      </w:r>
      <w:r>
        <w:rPr>
          <w:i/>
        </w:rPr>
        <w:t>Antihua Pacay</w:t>
      </w:r>
      <w:r>
        <w:t xml:space="preserve">. Una alineación por similitud coseno entre oraciones individuales puede recuperar entre 100 y 300 pares MP de calidad suficiente para incorporar el dialecto al </w:t>
      </w:r>
      <w:r>
        <w:rPr>
          <w:i/>
        </w:rPr>
        <w:t>split</w:t>
      </w:r>
      <w:r>
        <w:t xml:space="preserve"> de entrenamiento y evaluar el efecto de la cobertura bidialectal en la calidad de la traducción.</w:t>
      </w:r>
    </w:p>
    <w:p>
      <w:pPr>
        <w:jc w:val="both"/>
      </w:pPr>
      <w:r>
        <w:t xml:space="preserve">Una segunda línea contempla un estudio sistemático de </w:t>
      </w:r>
      <w:r>
        <w:rPr>
          <w:i/>
        </w:rPr>
        <w:t>ablations</w:t>
      </w:r>
      <w:r>
        <w:t xml:space="preserve"> sobre los hiperparámetros del adaptador LoRA, en particular sobre el rango (valores 4, 8, 16, 32, 64), el factor de escala alpha (16, 32, 64) y la incorporación de cuantización a 4 bits según la propuesta QLoRA de Dettmers et al. (2023). El estudio admite un complemento con augmentación sintética por </w:t>
      </w:r>
      <w:r>
        <w:rPr>
          <w:i/>
        </w:rPr>
        <w:t>back-translation</w:t>
      </w:r>
      <w:r>
        <w:t xml:space="preserve"> sobre material monolingüe en Inga.</w:t>
      </w:r>
    </w:p>
    <w:p>
      <w:pPr>
        <w:jc w:val="both"/>
      </w:pPr>
      <w:r>
        <w:t>Una tercera línea contempla el escalado del modelo base de NLLB-200-distilled-600M a NLLB-200-3.3B, viable en la estación local de cómputo pero con tiempos de entrenamiento sustancialmente mayores. La comparación entre ambos tamaños permite evaluar el retorno marginal del aumento de parámetros para una lengua de recursos extremadamente bajos y contrastar el comportamiento con la evidencia reportada por Su et al. (2024) sobre PEFT en lenguas de bajos recursos.</w:t>
      </w:r>
    </w:p>
    <w:p>
      <w:pPr>
        <w:jc w:val="both"/>
      </w:pPr>
      <w:r>
        <w:t>Una cuarta línea consiste en la validación humana con hablantes nativos del Inga, idealmente con representación dialectal balanceada y rúbrica de tres dimensiones: adecuación semántica, fluidez gramatical y naturalidad cultural. La logística de la sesión se puede coordinar a través del integrante del equipo residente en Mocoa con compensación por participación según los principios éticos sistematizados por Mager et al. (2023).</w:t>
      </w:r>
    </w:p>
    <w:p>
      <w:pPr>
        <w:jc w:val="both"/>
      </w:pPr>
      <w:r>
        <w:t>Una quinta línea consiste en el empaquetado del sistema resultante como aplicación local reproducible, con interfaz de línea de comandos que acepta un texto en cualquiera de las dos lenguas y devuelve la traducción según la configuración óptima identificada (Claude Opus 4.7 con RAG multi-índice). La documentación incluye una guía de despliegue en hardware comparable al utilizado en este estudio y la indicación de que el adaptador LoRA, aunque no es el ganador absoluto, conserva valor como respaldo local cuando no hay conectividad con la API del modelo de frontera.</w:t>
      </w:r>
    </w:p>
    <w:p>
      <w:pPr>
        <w:jc w:val="both"/>
      </w:pPr>
      <w:r>
        <w:t>---</w:t>
      </w:r>
    </w:p>
    <w:p>
      <w:r>
        <w:br w:type="page"/>
      </w:r>
    </w:p>
    <w:p>
      <w:pPr/>
      <w:r>
        <w:rPr>
          <w:b w:val="0"/>
          <w:i w:val="0"/>
        </w:rPr>
        <w:t>======================================================================</w:t>
      </w:r>
    </w:p>
    <w:p>
      <w:pPr/>
      <w:r>
        <w:rPr>
          <w:b/>
          <w:i w:val="0"/>
        </w:rPr>
        <w:t>INSERTAR EN: Bloque 7 de 9. SUSTITUIR el Anexo A del docx final. La nueva version lista los doce notebooks ejecutables (00 a 11), los modulos src/, los archivos del corpus, los splits y el licenciamiento ampliado (incluye Reina-Valera 1909 de dominio publico).</w:t>
      </w:r>
    </w:p>
    <w:p>
      <w:pPr/>
      <w:r>
        <w:rPr>
          <w:b w:val="0"/>
          <w:i w:val="0"/>
        </w:rPr>
        <w:t>======================================================================</w:t>
      </w:r>
    </w:p>
    <w:p>
      <w:pPr/>
    </w:p>
    <w:p>
      <w:pPr>
        <w:pStyle w:val="Ttulo1"/>
        <w:pageBreakBefore/>
      </w:pPr>
      <w:r>
        <w:rPr>
          <w:b w:val="0"/>
          <w:i w:val="0"/>
        </w:rPr>
        <w:t>Anexo A. Código fuente y datos analizados</w:t>
      </w:r>
    </w:p>
    <w:p>
      <w:pPr>
        <w:jc w:val="both"/>
      </w:pPr>
      <w:r>
        <w:t xml:space="preserve">El código fuente del TFM se aloja en el repositorio </w:t>
      </w:r>
      <w:r>
        <w:rPr>
          <w:rFonts w:ascii="Consolas" w:hAnsi="Consolas"/>
        </w:rPr>
        <w:t>https://github.com/Purakuna/tfm-inga-traduccion</w:t>
      </w:r>
      <w:r>
        <w:t xml:space="preserve"> de la organización Purakuna, de acceso restringido durante la ejecución del proyecto, con el enlace comunicado al director del trabajo. El proyecto se gestiona como paquete Python reproducible con </w:t>
      </w:r>
      <w:r>
        <w:rPr>
          <w:rFonts w:ascii="Consolas" w:hAnsi="Consolas"/>
        </w:rPr>
        <w:t>pyproject.toml</w:t>
      </w:r>
      <w:r>
        <w:t xml:space="preserve"> y </w:t>
      </w:r>
      <w:r>
        <w:rPr>
          <w:rFonts w:ascii="Consolas" w:hAnsi="Consolas"/>
        </w:rPr>
        <w:t>uv.lock</w:t>
      </w:r>
      <w:r>
        <w:t xml:space="preserve">, instalable mediante el gestor de dependencias </w:t>
      </w:r>
      <w:r>
        <w:rPr>
          <w:rFonts w:ascii="Consolas" w:hAnsi="Consolas"/>
        </w:rPr>
        <w:t>uv</w:t>
      </w:r>
      <w:r>
        <w:t>. La estructura del repositorio se organiza según se describe a continuación.</w:t>
      </w:r>
    </w:p>
    <w:p>
      <w:pPr>
        <w:jc w:val="both"/>
      </w:pPr>
      <w:r>
        <w:t xml:space="preserve">La carpeta </w:t>
      </w:r>
      <w:r>
        <w:rPr>
          <w:rFonts w:ascii="Consolas" w:hAnsi="Consolas"/>
        </w:rPr>
        <w:t>notebooks/</w:t>
      </w:r>
      <w:r>
        <w:t xml:space="preserve"> contiene doce </w:t>
      </w:r>
      <w:r>
        <w:rPr>
          <w:i/>
        </w:rPr>
        <w:t>notebooks</w:t>
      </w:r>
      <w:r>
        <w:t xml:space="preserve"> de Jupyter ejecutables en orden numérico:</w:t>
      </w:r>
    </w:p>
    <w:p>
      <w:pPr>
        <w:pStyle w:val="Prrafodelista"/>
        <w:jc w:val="both"/>
      </w:pPr>
      <w:r>
        <w:rPr>
          <w:rFonts w:ascii="Consolas" w:hAnsi="Consolas"/>
        </w:rPr>
        <w:t>00_setup_entorno.ipynb</w:t>
      </w:r>
      <w:r>
        <w:t>, configuración y validación del entorno local (Python 3.11, PyTorch con aceleración MPS, librerías centrales) y prueba de inferencia zero-shot del modelo multilingüe utilizado como base.</w:t>
      </w:r>
    </w:p>
    <w:p>
      <w:pPr>
        <w:pStyle w:val="Prrafodelista"/>
        <w:jc w:val="both"/>
      </w:pPr>
      <w:r>
        <w:rPr>
          <w:rFonts w:ascii="Consolas" w:hAnsi="Consolas"/>
        </w:rPr>
        <w:t>01_eda_recursos_base.ipynb</w:t>
      </w:r>
      <w:r>
        <w:t xml:space="preserve">, análisis exploratorio de los cinco recursos lingüísticos primarios y primer volcado del </w:t>
      </w:r>
      <w:r>
        <w:rPr>
          <w:i/>
        </w:rPr>
        <w:t>Diccionario Inga</w:t>
      </w:r>
      <w:r>
        <w:t>.</w:t>
      </w:r>
    </w:p>
    <w:p>
      <w:pPr>
        <w:pStyle w:val="Prrafodelista"/>
        <w:jc w:val="both"/>
      </w:pPr>
      <w:r>
        <w:rPr>
          <w:rFonts w:ascii="Consolas" w:hAnsi="Consolas"/>
        </w:rPr>
        <w:t>02_extraccion_corpus_NT.ipynb</w:t>
      </w:r>
      <w:r>
        <w:t xml:space="preserve">, extracción heurística inicial del Nuevo Testamento en Inga y de las narrativas </w:t>
      </w:r>
      <w:r>
        <w:rPr>
          <w:i/>
        </w:rPr>
        <w:t>Antihua Pacay</w:t>
      </w:r>
      <w:r>
        <w:t>.</w:t>
      </w:r>
    </w:p>
    <w:p>
      <w:pPr>
        <w:pStyle w:val="Prrafodelista"/>
        <w:jc w:val="both"/>
      </w:pPr>
      <w:r>
        <w:rPr>
          <w:rFonts w:ascii="Consolas" w:hAnsi="Consolas"/>
        </w:rPr>
        <w:t>03_extraccion_NT_inga_estructurada.ipynb</w:t>
      </w:r>
      <w:r>
        <w:t>, parser estructurado del NT Inga que recupera 6.083 versículos únicos con tupla canónica (libro, capítulo, versículo).</w:t>
      </w:r>
    </w:p>
    <w:p>
      <w:pPr>
        <w:pStyle w:val="Prrafodelista"/>
        <w:jc w:val="both"/>
      </w:pPr>
      <w:r>
        <w:rPr>
          <w:rFonts w:ascii="Consolas" w:hAnsi="Consolas"/>
        </w:rPr>
        <w:t>04_extraccion_NT_rv1909.ipynb</w:t>
      </w:r>
      <w:r>
        <w:t>, parser de los 27 archivos USFM del NT Reina-Valera 1909 con limpieza de marcado anotativo.</w:t>
      </w:r>
    </w:p>
    <w:p>
      <w:pPr>
        <w:pStyle w:val="Prrafodelista"/>
        <w:jc w:val="both"/>
      </w:pPr>
      <w:r>
        <w:rPr>
          <w:rFonts w:ascii="Consolas" w:hAnsi="Consolas"/>
        </w:rPr>
        <w:t>05_alineacion_NT.ipynb</w:t>
      </w:r>
      <w:r>
        <w:t xml:space="preserve">, </w:t>
      </w:r>
      <w:r>
        <w:rPr>
          <w:i/>
        </w:rPr>
        <w:t>inner join</w:t>
      </w:r>
      <w:r>
        <w:t xml:space="preserve"> canónico entre las dos versiones del NT con filtros de calidad, resultado: 5.589 pares paralelos.</w:t>
      </w:r>
    </w:p>
    <w:p>
      <w:pPr>
        <w:pStyle w:val="Prrafodelista"/>
        <w:jc w:val="both"/>
      </w:pPr>
      <w:r>
        <w:rPr>
          <w:rFonts w:ascii="Consolas" w:hAnsi="Consolas"/>
        </w:rPr>
        <w:t>06_antihua_pacay_alineado.ipynb</w:t>
      </w:r>
      <w:r>
        <w:t>, alineación exploratoria de Antihua Pacay (no incorporada al corpus de entrenamiento por baja calidad de la alineación oracional sin alineador semántico).</w:t>
      </w:r>
    </w:p>
    <w:p>
      <w:pPr>
        <w:pStyle w:val="Prrafodelista"/>
        <w:jc w:val="both"/>
      </w:pPr>
      <w:r>
        <w:rPr>
          <w:rFonts w:ascii="Consolas" w:hAnsi="Consolas"/>
        </w:rPr>
        <w:t>07_corpus_particiones.ipynb</w:t>
      </w:r>
      <w:r>
        <w:t>, unificación, particiones train/val/test 80/10/10 con semilla 42 y generación de la Figura 9.</w:t>
      </w:r>
    </w:p>
    <w:p>
      <w:pPr>
        <w:pStyle w:val="Prrafodelista"/>
        <w:jc w:val="both"/>
      </w:pPr>
      <w:r>
        <w:rPr>
          <w:rFonts w:ascii="Consolas" w:hAnsi="Consolas"/>
        </w:rPr>
        <w:t>08_indexacion_vectorial.ipynb</w:t>
      </w:r>
      <w:r>
        <w:t xml:space="preserve">, construcción de los cuatro índices LanceDB con embeddings </w:t>
      </w:r>
      <w:r>
        <w:rPr>
          <w:rFonts w:ascii="Consolas" w:hAnsi="Consolas"/>
        </w:rPr>
        <w:t>gemini-embedding-001</w:t>
      </w:r>
      <w:r>
        <w:t>.</w:t>
      </w:r>
    </w:p>
    <w:p>
      <w:pPr>
        <w:pStyle w:val="Prrafodelista"/>
        <w:jc w:val="both"/>
      </w:pPr>
      <w:r>
        <w:rPr>
          <w:rFonts w:ascii="Consolas" w:hAnsi="Consolas"/>
        </w:rPr>
        <w:t>09_finetuning_lora.ipynb</w:t>
      </w:r>
      <w:r>
        <w:t>, ajuste fino bidireccional de NLLB-200-distilled-600M mediante adaptadores LoRA.</w:t>
      </w:r>
    </w:p>
    <w:p>
      <w:pPr>
        <w:pStyle w:val="Prrafodelista"/>
        <w:jc w:val="both"/>
      </w:pPr>
      <w:r>
        <w:rPr>
          <w:rFonts w:ascii="Consolas" w:hAnsi="Consolas"/>
        </w:rPr>
        <w:t>10_medicion_nllb_configs.ipynb</w:t>
      </w:r>
      <w:r>
        <w:t xml:space="preserve">, evaluación de las configuraciones A y B en ambas direcciones sobre 100 ejemplos del </w:t>
      </w:r>
      <w:r>
        <w:rPr>
          <w:i/>
        </w:rPr>
        <w:t>val set</w:t>
      </w:r>
      <w:r>
        <w:t>.</w:t>
      </w:r>
    </w:p>
    <w:p>
      <w:pPr>
        <w:pStyle w:val="Prrafodelista"/>
        <w:jc w:val="both"/>
      </w:pPr>
      <w:r>
        <w:rPr>
          <w:rFonts w:ascii="Consolas" w:hAnsi="Consolas"/>
        </w:rPr>
        <w:t>11_medicion_llm_rag.ipynb</w:t>
      </w:r>
      <w:r>
        <w:t>, evaluación de las configuraciones C, D y E con Claude Sonnet 4.6 y generación de la Figura 12.</w:t>
      </w:r>
    </w:p>
    <w:p>
      <w:pPr>
        <w:jc w:val="both"/>
      </w:pPr>
      <w:r>
        <w:t xml:space="preserve">La carpeta </w:t>
      </w:r>
      <w:r>
        <w:rPr>
          <w:rFonts w:ascii="Consolas" w:hAnsi="Consolas"/>
        </w:rPr>
        <w:t>src/</w:t>
      </w:r>
      <w:r>
        <w:t xml:space="preserve"> contiene los módulos reutilizables del proyecto, organizados en tres subpaquetes:</w:t>
      </w:r>
    </w:p>
    <w:p>
      <w:pPr>
        <w:pStyle w:val="Prrafodelista"/>
        <w:jc w:val="both"/>
      </w:pPr>
      <w:r>
        <w:rPr>
          <w:rFonts w:ascii="Consolas" w:hAnsi="Consolas"/>
        </w:rPr>
        <w:t>src/rag/</w:t>
      </w:r>
      <w:r>
        <w:t xml:space="preserve"> con </w:t>
      </w:r>
      <w:r>
        <w:rPr>
          <w:rFonts w:ascii="Consolas" w:hAnsi="Consolas"/>
        </w:rPr>
        <w:t>embeddings.py</w:t>
      </w:r>
      <w:r>
        <w:t xml:space="preserve"> (wrapper de Gemini con throttling y reintento), </w:t>
      </w:r>
      <w:r>
        <w:rPr>
          <w:rFonts w:ascii="Consolas" w:hAnsi="Consolas"/>
        </w:rPr>
        <w:t>indexes.py</w:t>
      </w:r>
      <w:r>
        <w:t xml:space="preserve"> (gestión de tablas LanceDB) y </w:t>
      </w:r>
      <w:r>
        <w:rPr>
          <w:rFonts w:ascii="Consolas" w:hAnsi="Consolas"/>
        </w:rPr>
        <w:t>retriever.py</w:t>
      </w:r>
      <w:r>
        <w:t xml:space="preserve"> (API uniforme multi-índice).</w:t>
      </w:r>
    </w:p>
    <w:p>
      <w:pPr>
        <w:pStyle w:val="Prrafodelista"/>
        <w:jc w:val="both"/>
      </w:pPr>
      <w:r>
        <w:rPr>
          <w:rFonts w:ascii="Consolas" w:hAnsi="Consolas"/>
        </w:rPr>
        <w:t>src/models/</w:t>
      </w:r>
      <w:r>
        <w:t xml:space="preserve"> con </w:t>
      </w:r>
      <w:r>
        <w:rPr>
          <w:rFonts w:ascii="Consolas" w:hAnsi="Consolas"/>
        </w:rPr>
        <w:t>nllb_lora.py</w:t>
      </w:r>
      <w:r>
        <w:t xml:space="preserve"> (setup de NLLB y aplicación de LoRA) y </w:t>
      </w:r>
      <w:r>
        <w:rPr>
          <w:rFonts w:ascii="Consolas" w:hAnsi="Consolas"/>
        </w:rPr>
        <w:t>claude_rag.py</w:t>
      </w:r>
      <w:r>
        <w:t xml:space="preserve"> (pipeline LLM con prompts estructurados por dirección).</w:t>
      </w:r>
    </w:p>
    <w:p>
      <w:pPr>
        <w:pStyle w:val="Prrafodelista"/>
        <w:jc w:val="both"/>
      </w:pPr>
      <w:r>
        <w:rPr>
          <w:rFonts w:ascii="Consolas" w:hAnsi="Consolas"/>
        </w:rPr>
        <w:t>src/eval/</w:t>
      </w:r>
      <w:r>
        <w:t xml:space="preserve"> con </w:t>
      </w:r>
      <w:r>
        <w:rPr>
          <w:rFonts w:ascii="Consolas" w:hAnsi="Consolas"/>
        </w:rPr>
        <w:t>metrics.py</w:t>
      </w:r>
      <w:r>
        <w:t xml:space="preserve"> (wrappers de BLEU, chrF++ y BERTScore).</w:t>
      </w:r>
    </w:p>
    <w:p>
      <w:pPr>
        <w:jc w:val="both"/>
      </w:pPr>
      <w:r>
        <w:t xml:space="preserve">La carpeta </w:t>
      </w:r>
      <w:r>
        <w:rPr>
          <w:rFonts w:ascii="Consolas" w:hAnsi="Consolas"/>
        </w:rPr>
        <w:t>datos/</w:t>
      </w:r>
      <w:r>
        <w:t xml:space="preserve"> contiene las salidas estructuradas y los corpus generados:</w:t>
      </w:r>
    </w:p>
    <w:p>
      <w:pPr>
        <w:pStyle w:val="Prrafodelista"/>
        <w:jc w:val="both"/>
      </w:pPr>
      <w:r>
        <w:rPr>
          <w:rFonts w:ascii="Consolas" w:hAnsi="Consolas"/>
        </w:rPr>
        <w:t>datos/diccionario_inga.jsonl</w:t>
      </w:r>
      <w:r>
        <w:t>, 4.900 entradas léxicas con lema, categoría gramatical y glosa.</w:t>
      </w:r>
    </w:p>
    <w:p>
      <w:pPr>
        <w:pStyle w:val="Prrafodelista"/>
        <w:jc w:val="both"/>
      </w:pPr>
      <w:r>
        <w:rPr>
          <w:rFonts w:ascii="Consolas" w:hAnsi="Consolas"/>
        </w:rPr>
        <w:t>datos/nt_inga_estructurado.jsonl</w:t>
      </w:r>
      <w:r>
        <w:t xml:space="preserve"> y </w:t>
      </w:r>
      <w:r>
        <w:rPr>
          <w:rFonts w:ascii="Consolas" w:hAnsi="Consolas"/>
        </w:rPr>
        <w:t>datos/nt_rv1909_estructurado.jsonl</w:t>
      </w:r>
      <w:r>
        <w:t>, salidas de los notebooks 03 y 04.</w:t>
      </w:r>
    </w:p>
    <w:p>
      <w:pPr>
        <w:pStyle w:val="Prrafodelista"/>
        <w:jc w:val="both"/>
      </w:pPr>
      <w:r>
        <w:rPr>
          <w:rFonts w:ascii="Consolas" w:hAnsi="Consolas"/>
        </w:rPr>
        <w:t>datos/nt_paralelo.jsonl</w:t>
      </w:r>
      <w:r>
        <w:t>, 5.589 pares paralelos resultantes de la alineación canónica.</w:t>
      </w:r>
    </w:p>
    <w:p>
      <w:pPr>
        <w:pStyle w:val="Prrafodelista"/>
        <w:jc w:val="both"/>
      </w:pPr>
      <w:r>
        <w:rPr>
          <w:rFonts w:ascii="Consolas" w:hAnsi="Consolas"/>
        </w:rPr>
        <w:t>datos/antihua_pacay_alineado.jsonl</w:t>
      </w:r>
      <w:r>
        <w:t>, 86 pares exploratorios del Medio Putumayo.</w:t>
      </w:r>
    </w:p>
    <w:p>
      <w:pPr>
        <w:pStyle w:val="Prrafodelista"/>
        <w:jc w:val="both"/>
      </w:pPr>
      <w:r>
        <w:rPr>
          <w:rFonts w:ascii="Consolas" w:hAnsi="Consolas"/>
        </w:rPr>
        <w:t>datos/corpus_paralelo.jsonl</w:t>
      </w:r>
      <w:r>
        <w:t>, corpus unificado.</w:t>
      </w:r>
    </w:p>
    <w:p>
      <w:pPr>
        <w:pStyle w:val="Prrafodelista"/>
        <w:jc w:val="both"/>
      </w:pPr>
      <w:r>
        <w:rPr>
          <w:rFonts w:ascii="Consolas" w:hAnsi="Consolas"/>
        </w:rPr>
        <w:t>datos/splits/train.jsonl</w:t>
      </w:r>
      <w:r>
        <w:t xml:space="preserve">, </w:t>
      </w:r>
      <w:r>
        <w:rPr>
          <w:rFonts w:ascii="Consolas" w:hAnsi="Consolas"/>
        </w:rPr>
        <w:t>val.jsonl</w:t>
      </w:r>
      <w:r>
        <w:t xml:space="preserve">, </w:t>
      </w:r>
      <w:r>
        <w:rPr>
          <w:rFonts w:ascii="Consolas" w:hAnsi="Consolas"/>
        </w:rPr>
        <w:t>test.jsonl</w:t>
      </w:r>
      <w:r>
        <w:t>, particiones 80/10/10.</w:t>
      </w:r>
    </w:p>
    <w:p>
      <w:pPr>
        <w:pStyle w:val="Prrafodelista"/>
        <w:jc w:val="both"/>
      </w:pPr>
      <w:r>
        <w:rPr>
          <w:rFonts w:ascii="Consolas" w:hAnsi="Consolas"/>
        </w:rPr>
        <w:t>datos/metricas_entrega2.json</w:t>
      </w:r>
      <w:r>
        <w:t>, métricas de las cinco configuraciones con Claude Opus 4.7 (reporte principal del Capítulo 4).</w:t>
      </w:r>
    </w:p>
    <w:p>
      <w:pPr>
        <w:pStyle w:val="Prrafodelista"/>
        <w:jc w:val="both"/>
      </w:pPr>
      <w:r>
        <w:rPr>
          <w:rFonts w:ascii="Consolas" w:hAnsi="Consolas"/>
        </w:rPr>
        <w:t>datos/metricas_entrega2_sonnet.json</w:t>
      </w:r>
      <w:r>
        <w:t>, métricas de las configuraciones C, D y E con Claude Sonnet 4.6 sobre el mismo conjunto de validación, utilizadas para la comparación intra-Claude de la Tabla 9.</w:t>
      </w:r>
    </w:p>
    <w:p>
      <w:pPr>
        <w:pStyle w:val="Prrafodelista"/>
        <w:jc w:val="both"/>
      </w:pPr>
      <w:r>
        <w:rPr>
          <w:rFonts w:ascii="Consolas" w:hAnsi="Consolas"/>
        </w:rPr>
        <w:t>datos/predicciones_val_completo.jsonl</w:t>
      </w:r>
      <w:r>
        <w:t>, predicciones por configuración para inspección cualitativa.</w:t>
      </w:r>
    </w:p>
    <w:p>
      <w:pPr>
        <w:pStyle w:val="Prrafodelista"/>
        <w:jc w:val="both"/>
      </w:pPr>
      <w:r>
        <w:rPr>
          <w:rFonts w:ascii="Consolas" w:hAnsi="Consolas"/>
        </w:rPr>
        <w:t>datos/ocr/</w:t>
      </w:r>
      <w:r>
        <w:t xml:space="preserve">, fuentes OCR derivadas, con subcarpetas </w:t>
      </w:r>
      <w:r>
        <w:rPr>
          <w:rFonts w:ascii="Consolas" w:hAnsi="Consolas"/>
        </w:rPr>
        <w:t>inga-kichwa/</w:t>
      </w:r>
      <w:r>
        <w:t xml:space="preserve"> (cinco fuentes primarias del Inga) y </w:t>
      </w:r>
      <w:r>
        <w:rPr>
          <w:rFonts w:ascii="Consolas" w:hAnsi="Consolas"/>
        </w:rPr>
        <w:t>reina-valera-1909/</w:t>
      </w:r>
      <w:r>
        <w:t xml:space="preserve"> (27 archivos USFM del NT en español).</w:t>
      </w:r>
    </w:p>
    <w:p>
      <w:pPr>
        <w:jc w:val="both"/>
      </w:pPr>
      <w:r>
        <w:t xml:space="preserve">La carpeta </w:t>
      </w:r>
      <w:r>
        <w:rPr>
          <w:rFonts w:ascii="Consolas" w:hAnsi="Consolas"/>
        </w:rPr>
        <w:t>bibliografia/</w:t>
      </w:r>
      <w:r>
        <w:t xml:space="preserve"> contiene la base bibliográfica verificada del proyecto (</w:t>
      </w:r>
      <w:r>
        <w:rPr>
          <w:rFonts w:ascii="Consolas" w:hAnsi="Consolas"/>
        </w:rPr>
        <w:t>refs_verificadas.md</w:t>
      </w:r>
      <w:r>
        <w:t>), con identificadores estables asociados a cada entrada.</w:t>
      </w:r>
    </w:p>
    <w:p>
      <w:pPr>
        <w:jc w:val="both"/>
      </w:pPr>
      <w:r>
        <w:t xml:space="preserve">La carpeta </w:t>
      </w:r>
      <w:r>
        <w:rPr>
          <w:rFonts w:ascii="Consolas" w:hAnsi="Consolas"/>
        </w:rPr>
        <w:t>entrega2/</w:t>
      </w:r>
      <w:r>
        <w:t xml:space="preserve"> contiene el documento maestro del trabajo y sus recursos gráficos asociados. El </w:t>
      </w:r>
      <w:r>
        <w:rPr>
          <w:i/>
        </w:rPr>
        <w:t>script</w:t>
      </w:r>
      <w:r>
        <w:t xml:space="preserve"> </w:t>
      </w:r>
      <w:r>
        <w:rPr>
          <w:rFonts w:ascii="Consolas" w:hAnsi="Consolas"/>
        </w:rPr>
        <w:t>entrega2/build_docx_e2.py</w:t>
      </w:r>
      <w:r>
        <w:t xml:space="preserve"> genera bloques en formato Word a partir del Markdown maestro y la plantilla oficial UNIR, aplicando los estilos requeridos para captions APA y conservando los estilos de la plantilla.</w:t>
      </w:r>
    </w:p>
    <w:p>
      <w:pPr>
        <w:jc w:val="both"/>
      </w:pPr>
      <w:r>
        <w:rPr>
          <w:b/>
        </w:rPr>
        <w:t>Licenciamiento.</w:t>
      </w:r>
      <w:r>
        <w:t xml:space="preserve"> El código desarrollado específicamente para el TFM se publica bajo licencia MIT. Los datos derivados de fuentes externas heredan las licencias de sus respectivas fuentes primarias: el </w:t>
      </w:r>
      <w:r>
        <w:rPr>
          <w:i/>
        </w:rPr>
        <w:t>Nuevo Testamento en el idioma Inga de Colombia</w:t>
      </w:r>
      <w:r>
        <w:t xml:space="preserve"> se distribuye bajo Creative Commons Atribución-NoComercial-SinObraDerivada 3.0 (Wycliffe Bible Translators, 2012); las narrativas </w:t>
      </w:r>
      <w:r>
        <w:rPr>
          <w:i/>
        </w:rPr>
        <w:t>Antihua Pacay Gentecunapa Parlocuna</w:t>
      </w:r>
      <w:r>
        <w:t xml:space="preserve"> (Jamioy Yanangona de Peña, 1985) forman parte de los Archivos de Lengua y Cultura del SIL International, disponibles bajo términos de uso académico y de investigación; el NT Reina-Valera 1909 se distribuye en dominio público a través de eBible.org.</w:t>
      </w:r>
    </w:p>
    <w:p>
      <w:r>
        <w:br w:type="page"/>
      </w:r>
    </w:p>
    <w:p>
      <w:pPr/>
      <w:r>
        <w:rPr>
          <w:b w:val="0"/>
          <w:i w:val="0"/>
        </w:rPr>
        <w:t>======================================================================</w:t>
      </w:r>
    </w:p>
    <w:p>
      <w:pPr/>
      <w:r>
        <w:rPr>
          <w:b/>
          <w:i w:val="0"/>
        </w:rPr>
        <w:t>INSERTAR EN: Bloque 8 de 9. ANADIR esta entrada nueva en la seccion "Referencias bibliograficas", en orden alfabetico (va inmediatamente despues de Ebrahimi et al., 2024).</w:t>
      </w:r>
    </w:p>
    <w:p>
      <w:pPr/>
      <w:r>
        <w:rPr>
          <w:b w:val="0"/>
          <w:i w:val="0"/>
        </w:rPr>
        <w:t>======================================================================</w:t>
      </w:r>
    </w:p>
    <w:p>
      <w:pPr/>
    </w:p>
    <w:p>
      <w:pPr>
        <w:pStyle w:val="Referenciasbibliogrficas"/>
        <w:jc w:val="both"/>
      </w:pPr>
      <w:r>
        <w:t xml:space="preserve">Finkelstein, M., Caswell, I., Domhan, T., Peter, J.-T., Juraska, J., Riley, P., Deutsch, D., Kovacs, G., Dilanni, C., Cherry, C., Briakou, E., Nielsen, E., Luo, J., Black, K., Mullins, R., Agrawal, S., Xu, W., Kats, E., Jaskiewicz, S., Freitag, M., y Vilar, D. (2026). </w:t>
      </w:r>
      <w:r>
        <w:rPr>
          <w:i/>
        </w:rPr>
        <w:t>TranslateGemma: Technical Report</w:t>
      </w:r>
      <w:r>
        <w:t xml:space="preserve"> [arXiv preprint]. https://arxiv.org/abs/2601.09012</w:t>
      </w:r>
    </w:p>
    <w:p>
      <w:r>
        <w:br w:type="page"/>
      </w:r>
    </w:p>
    <w:p>
      <w:pPr/>
      <w:r>
        <w:rPr>
          <w:b w:val="0"/>
          <w:i w:val="0"/>
        </w:rPr>
        <w:t>======================================================================</w:t>
      </w:r>
    </w:p>
    <w:p>
      <w:pPr/>
      <w:r>
        <w:rPr>
          <w:b/>
          <w:i w:val="0"/>
        </w:rPr>
        <w:t>INSERTAR EN: Bloque 9 de 9. REFERENCIA VISUAL. Modelo del formato APA correcto para tablas y figuras, a aplicar manualmente al rotulado de TODAS las que aparecen en el documento, incluidas las heredadas (Tabla 1 a 5, Figura 1 a 8). El formato exige tres reglas conjuntas: etiqueta en castellano (Tabla / Figura, NO Table / Figure), identificador en negrita en linea propia, titulo en cursiva sin punto en la linea siguiente. Los rotulos de las Tablas 6, 7 y 8 y de las Figuras 9, 10, 11 y 12 incluidos en el Bloque 5 ya cumplen este patron y pueden copiarse como plantilla.</w:t>
      </w:r>
    </w:p>
    <w:p>
      <w:pPr/>
      <w:r>
        <w:rPr>
          <w:b w:val="0"/>
          <w:i w:val="0"/>
        </w:rPr>
        <w:t>======================================================================</w:t>
      </w:r>
    </w:p>
    <w:p>
      <w:pPr/>
    </w:p>
    <w:p>
      <w:pPr/>
      <w:r>
        <w:rPr>
          <w:b/>
          <w:i w:val="0"/>
        </w:rPr>
        <w:t>Ejemplo correcto para una figura:</w:t>
      </w:r>
    </w:p>
    <w:p>
      <w:pPr/>
    </w:p>
    <w:p>
      <w:pPr>
        <w:pStyle w:val="Descripcin"/>
        <w:jc w:val="left"/>
      </w:pPr>
      <w:r>
        <w:rPr>
          <w:b/>
        </w:rPr>
        <w:t>Figura 1</w:t>
      </w:r>
    </w:p>
    <w:p>
      <w:pPr>
        <w:jc w:val="left"/>
      </w:pPr>
      <w:r>
        <w:rPr>
          <w:i/>
        </w:rPr>
        <w:t>Ubicación del pueblo Inga en el departamento del Putumayo</w:t>
      </w:r>
    </w:p>
    <w:p>
      <w:pPr>
        <w:jc w:val="center"/>
      </w:pPr>
      <w:r>
        <w:rPr>
          <w:b w:val="0"/>
          <w:i/>
        </w:rPr>
        <w:t>(aqui iria la figura)</w:t>
      </w:r>
    </w:p>
    <w:p>
      <w:pPr>
        <w:pStyle w:val="Piedefoto-tabla"/>
        <w:jc w:val="both"/>
      </w:pPr>
      <w:r>
        <w:rPr>
          <w:i/>
        </w:rPr>
        <w:t xml:space="preserve">Nota. </w:t>
      </w:r>
      <w:r>
        <w:t>Elaboracion propia con base en datos de OpenStreetMap contributors (ODbL).</w:t>
      </w:r>
    </w:p>
    <w:p>
      <w:pPr/>
    </w:p>
    <w:p>
      <w:pPr/>
      <w:r>
        <w:rPr>
          <w:b/>
          <w:i w:val="0"/>
        </w:rPr>
        <w:t>Ejemplo correcto para una tabla:</w:t>
      </w:r>
    </w:p>
    <w:p>
      <w:pPr/>
    </w:p>
    <w:p>
      <w:pPr>
        <w:pStyle w:val="Descripcin"/>
        <w:jc w:val="left"/>
      </w:pPr>
      <w:r>
        <w:rPr>
          <w:b/>
        </w:rPr>
        <w:t>Tabla 3</w:t>
      </w:r>
    </w:p>
    <w:p>
      <w:pPr>
        <w:jc w:val="left"/>
      </w:pPr>
      <w:r>
        <w:rPr>
          <w:i/>
        </w:rPr>
        <w:t>Inventario de recursos lingüísticos primarios utilizados en la construcción del corpus</w:t>
      </w:r>
    </w:p>
    <w:p>
      <w:pPr>
        <w:jc w:val="center"/>
      </w:pPr>
      <w:r>
        <w:rPr>
          <w:b w:val="0"/>
          <w:i/>
        </w:rPr>
        <w:t>(aqui iria la tabla)</w:t>
      </w:r>
    </w:p>
    <w:p>
      <w:pPr>
        <w:pStyle w:val="Piedefoto-tabla"/>
        <w:jc w:val="both"/>
      </w:pPr>
      <w:r>
        <w:rPr>
          <w:i/>
        </w:rPr>
        <w:t xml:space="preserve">Nota. </w:t>
      </w:r>
      <w:r>
        <w:t>Elaboracion propia. La cifra total de paginas OCR asciende a 1.094.</w:t>
      </w:r>
    </w:p>
    <w:sectPr w:rsidR="001834C3" w:rsidRPr="000D09A0" w:rsidSect="004871CB">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1910C9" w14:textId="77777777" w:rsidR="004871CB" w:rsidRDefault="004871CB" w:rsidP="006403BD">
      <w:r>
        <w:separator/>
      </w:r>
    </w:p>
  </w:endnote>
  <w:endnote w:type="continuationSeparator" w:id="0">
    <w:p w14:paraId="31DDF42E" w14:textId="77777777" w:rsidR="004871CB" w:rsidRDefault="004871CB"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6AA8F" w14:textId="77777777" w:rsidR="004871CB" w:rsidRDefault="004871CB" w:rsidP="006403BD">
      <w:r>
        <w:separator/>
      </w:r>
    </w:p>
  </w:footnote>
  <w:footnote w:type="continuationSeparator" w:id="0">
    <w:p w14:paraId="375FA38E" w14:textId="77777777" w:rsidR="004871CB" w:rsidRDefault="004871CB" w:rsidP="006403BD">
      <w:r>
        <w:continuationSeparator/>
      </w:r>
    </w:p>
  </w:footnote>
  <w:footnote w:id="1">
    <w:p w14:paraId="03DBC5EA" w14:textId="77777777" w:rsidR="00C308C3" w:rsidRDefault="00C308C3" w:rsidP="00C308C3">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3132074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0"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3"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5A6B7C25"/>
    <w:multiLevelType w:val="hybridMultilevel"/>
    <w:tmpl w:val="C2E66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D1F18C3"/>
    <w:multiLevelType w:val="multilevel"/>
    <w:tmpl w:val="B37C3B20"/>
    <w:numStyleLink w:val="VietasUNIR"/>
  </w:abstractNum>
  <w:abstractNum w:abstractNumId="22"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1850FC"/>
    <w:multiLevelType w:val="hybridMultilevel"/>
    <w:tmpl w:val="198E9C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4460264">
    <w:abstractNumId w:val="8"/>
  </w:num>
  <w:num w:numId="2" w16cid:durableId="1251886130">
    <w:abstractNumId w:val="23"/>
  </w:num>
  <w:num w:numId="3" w16cid:durableId="1596016411">
    <w:abstractNumId w:val="11"/>
  </w:num>
  <w:num w:numId="4" w16cid:durableId="1561018935">
    <w:abstractNumId w:val="0"/>
  </w:num>
  <w:num w:numId="5" w16cid:durableId="1169096736">
    <w:abstractNumId w:val="4"/>
  </w:num>
  <w:num w:numId="6" w16cid:durableId="290479389">
    <w:abstractNumId w:val="13"/>
  </w:num>
  <w:num w:numId="7" w16cid:durableId="998194144">
    <w:abstractNumId w:val="12"/>
  </w:num>
  <w:num w:numId="8" w16cid:durableId="21059511">
    <w:abstractNumId w:val="9"/>
  </w:num>
  <w:num w:numId="9" w16cid:durableId="747843244">
    <w:abstractNumId w:val="19"/>
  </w:num>
  <w:num w:numId="10" w16cid:durableId="776297507">
    <w:abstractNumId w:val="16"/>
  </w:num>
  <w:num w:numId="11" w16cid:durableId="1406339807">
    <w:abstractNumId w:val="15"/>
  </w:num>
  <w:num w:numId="12" w16cid:durableId="1078792026">
    <w:abstractNumId w:val="7"/>
  </w:num>
  <w:num w:numId="13" w16cid:durableId="1648512269">
    <w:abstractNumId w:val="5"/>
  </w:num>
  <w:num w:numId="14" w16cid:durableId="1372072029">
    <w:abstractNumId w:val="10"/>
  </w:num>
  <w:num w:numId="15" w16cid:durableId="1569536944">
    <w:abstractNumId w:val="10"/>
    <w:lvlOverride w:ilvl="0">
      <w:startOverride w:val="1"/>
    </w:lvlOverride>
    <w:lvlOverride w:ilvl="1">
      <w:startOverride w:val="1"/>
    </w:lvlOverride>
    <w:lvlOverride w:ilvl="2">
      <w:startOverride w:val="1"/>
    </w:lvlOverride>
  </w:num>
  <w:num w:numId="16" w16cid:durableId="1560046017">
    <w:abstractNumId w:val="10"/>
  </w:num>
  <w:num w:numId="17" w16cid:durableId="1399480590">
    <w:abstractNumId w:val="24"/>
  </w:num>
  <w:num w:numId="18" w16cid:durableId="1793279753">
    <w:abstractNumId w:val="22"/>
  </w:num>
  <w:num w:numId="19" w16cid:durableId="1162426106">
    <w:abstractNumId w:val="26"/>
  </w:num>
  <w:num w:numId="20" w16cid:durableId="1092552639">
    <w:abstractNumId w:val="20"/>
  </w:num>
  <w:num w:numId="21" w16cid:durableId="1736735501">
    <w:abstractNumId w:val="3"/>
  </w:num>
  <w:num w:numId="22" w16cid:durableId="1006136419">
    <w:abstractNumId w:val="1"/>
  </w:num>
  <w:num w:numId="23" w16cid:durableId="507838896">
    <w:abstractNumId w:val="2"/>
  </w:num>
  <w:num w:numId="24" w16cid:durableId="1789814387">
    <w:abstractNumId w:val="14"/>
  </w:num>
  <w:num w:numId="25" w16cid:durableId="96470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2441644">
    <w:abstractNumId w:val="22"/>
  </w:num>
  <w:num w:numId="27" w16cid:durableId="1600941942">
    <w:abstractNumId w:val="22"/>
  </w:num>
  <w:num w:numId="28" w16cid:durableId="13327563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3482146">
    <w:abstractNumId w:val="22"/>
  </w:num>
  <w:num w:numId="30" w16cid:durableId="6958830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548228199">
    <w:abstractNumId w:val="22"/>
  </w:num>
  <w:num w:numId="32" w16cid:durableId="1499610836">
    <w:abstractNumId w:val="22"/>
  </w:num>
  <w:num w:numId="33" w16cid:durableId="646975774">
    <w:abstractNumId w:val="22"/>
  </w:num>
  <w:num w:numId="34" w16cid:durableId="466044123">
    <w:abstractNumId w:val="22"/>
  </w:num>
  <w:num w:numId="35" w16cid:durableId="2029869925">
    <w:abstractNumId w:val="22"/>
  </w:num>
  <w:num w:numId="36" w16cid:durableId="183322633">
    <w:abstractNumId w:val="22"/>
  </w:num>
  <w:num w:numId="37" w16cid:durableId="466049441">
    <w:abstractNumId w:val="22"/>
  </w:num>
  <w:num w:numId="38" w16cid:durableId="1899365851">
    <w:abstractNumId w:val="25"/>
  </w:num>
  <w:num w:numId="39" w16cid:durableId="1099250510">
    <w:abstractNumId w:val="6"/>
  </w:num>
  <w:num w:numId="40" w16cid:durableId="1678731548">
    <w:abstractNumId w:val="18"/>
  </w:num>
  <w:num w:numId="41" w16cid:durableId="1778334430">
    <w:abstractNumId w:val="17"/>
  </w:num>
  <w:num w:numId="42" w16cid:durableId="15792871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517BB"/>
    <w:rsid w:val="000757FF"/>
    <w:rsid w:val="00081009"/>
    <w:rsid w:val="00081560"/>
    <w:rsid w:val="00092996"/>
    <w:rsid w:val="000A1265"/>
    <w:rsid w:val="000A48C4"/>
    <w:rsid w:val="000D09A0"/>
    <w:rsid w:val="000D5E09"/>
    <w:rsid w:val="000E0CC7"/>
    <w:rsid w:val="000E4E28"/>
    <w:rsid w:val="001526D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33551"/>
    <w:rsid w:val="00235CE3"/>
    <w:rsid w:val="00243A8B"/>
    <w:rsid w:val="00244EAD"/>
    <w:rsid w:val="0025047A"/>
    <w:rsid w:val="00252BBA"/>
    <w:rsid w:val="00266CBA"/>
    <w:rsid w:val="002904CE"/>
    <w:rsid w:val="002B3E99"/>
    <w:rsid w:val="002B40D3"/>
    <w:rsid w:val="002E7D6F"/>
    <w:rsid w:val="003233AB"/>
    <w:rsid w:val="00327D49"/>
    <w:rsid w:val="00336DDD"/>
    <w:rsid w:val="00336EA6"/>
    <w:rsid w:val="0034192C"/>
    <w:rsid w:val="00350B2E"/>
    <w:rsid w:val="0035422F"/>
    <w:rsid w:val="00354D98"/>
    <w:rsid w:val="00382E79"/>
    <w:rsid w:val="003A50C3"/>
    <w:rsid w:val="003B79CA"/>
    <w:rsid w:val="003D1A96"/>
    <w:rsid w:val="003F0CA1"/>
    <w:rsid w:val="003F152D"/>
    <w:rsid w:val="003F24BC"/>
    <w:rsid w:val="00423E85"/>
    <w:rsid w:val="00436FA0"/>
    <w:rsid w:val="00461979"/>
    <w:rsid w:val="0048445F"/>
    <w:rsid w:val="00486BD4"/>
    <w:rsid w:val="004871CB"/>
    <w:rsid w:val="00490EAC"/>
    <w:rsid w:val="004B3999"/>
    <w:rsid w:val="004D3460"/>
    <w:rsid w:val="004D566D"/>
    <w:rsid w:val="00506743"/>
    <w:rsid w:val="00507BAD"/>
    <w:rsid w:val="00514164"/>
    <w:rsid w:val="00521A79"/>
    <w:rsid w:val="0053518B"/>
    <w:rsid w:val="00535F70"/>
    <w:rsid w:val="00556E52"/>
    <w:rsid w:val="00596B3C"/>
    <w:rsid w:val="005A1CF6"/>
    <w:rsid w:val="005A2B04"/>
    <w:rsid w:val="005B3AB6"/>
    <w:rsid w:val="005C420C"/>
    <w:rsid w:val="005D4C0B"/>
    <w:rsid w:val="005D549B"/>
    <w:rsid w:val="005F110C"/>
    <w:rsid w:val="006056D2"/>
    <w:rsid w:val="006311F9"/>
    <w:rsid w:val="006403BD"/>
    <w:rsid w:val="00642BA6"/>
    <w:rsid w:val="00653A94"/>
    <w:rsid w:val="0066672A"/>
    <w:rsid w:val="00670B3B"/>
    <w:rsid w:val="00673D42"/>
    <w:rsid w:val="0067645E"/>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50978"/>
    <w:rsid w:val="00751A0E"/>
    <w:rsid w:val="00771DE1"/>
    <w:rsid w:val="00781C5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56DFC"/>
    <w:rsid w:val="008607A8"/>
    <w:rsid w:val="00863C43"/>
    <w:rsid w:val="00877054"/>
    <w:rsid w:val="00881DD5"/>
    <w:rsid w:val="008958B1"/>
    <w:rsid w:val="008A283D"/>
    <w:rsid w:val="008A30B1"/>
    <w:rsid w:val="008C16EB"/>
    <w:rsid w:val="008E0EE0"/>
    <w:rsid w:val="008E30AB"/>
    <w:rsid w:val="00914BA4"/>
    <w:rsid w:val="00920246"/>
    <w:rsid w:val="00920B7C"/>
    <w:rsid w:val="009408EA"/>
    <w:rsid w:val="009450AB"/>
    <w:rsid w:val="00947B4F"/>
    <w:rsid w:val="00960142"/>
    <w:rsid w:val="0096740E"/>
    <w:rsid w:val="00977178"/>
    <w:rsid w:val="009A03FE"/>
    <w:rsid w:val="009A052D"/>
    <w:rsid w:val="009A2FA9"/>
    <w:rsid w:val="009A684C"/>
    <w:rsid w:val="009B2037"/>
    <w:rsid w:val="009E729C"/>
    <w:rsid w:val="009F38E3"/>
    <w:rsid w:val="009F6F17"/>
    <w:rsid w:val="00A365F1"/>
    <w:rsid w:val="00A416DD"/>
    <w:rsid w:val="00A725E6"/>
    <w:rsid w:val="00A75783"/>
    <w:rsid w:val="00A83514"/>
    <w:rsid w:val="00A976F0"/>
    <w:rsid w:val="00AC1FF0"/>
    <w:rsid w:val="00B026E1"/>
    <w:rsid w:val="00B04626"/>
    <w:rsid w:val="00B077AF"/>
    <w:rsid w:val="00B10175"/>
    <w:rsid w:val="00B34BF5"/>
    <w:rsid w:val="00B448AD"/>
    <w:rsid w:val="00B51192"/>
    <w:rsid w:val="00B519F0"/>
    <w:rsid w:val="00B52802"/>
    <w:rsid w:val="00B56FB6"/>
    <w:rsid w:val="00B60548"/>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76D77"/>
    <w:rsid w:val="00D92F3B"/>
    <w:rsid w:val="00D936E1"/>
    <w:rsid w:val="00D952D8"/>
    <w:rsid w:val="00D971A1"/>
    <w:rsid w:val="00DA0FCE"/>
    <w:rsid w:val="00DA43A0"/>
    <w:rsid w:val="00DB67DA"/>
    <w:rsid w:val="00DC17B0"/>
    <w:rsid w:val="00DF01CE"/>
    <w:rsid w:val="00E11B5A"/>
    <w:rsid w:val="00E11EB7"/>
    <w:rsid w:val="00E20C8B"/>
    <w:rsid w:val="00E462D0"/>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5354"/>
    <w:rsid w:val="00FA0670"/>
    <w:rsid w:val="00FA21E3"/>
    <w:rsid w:val="00FA4A4E"/>
    <w:rsid w:val="00FA7395"/>
    <w:rsid w:val="00FA7727"/>
    <w:rsid w:val="00FC3D7F"/>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41"/>
      </w:numPr>
    </w:pPr>
  </w:style>
  <w:style w:type="paragraph" w:styleId="Bibliografa">
    <w:name w:val="Bibliography"/>
    <w:basedOn w:val="Normal"/>
    <w:next w:val="Normal"/>
    <w:uiPriority w:val="37"/>
    <w:semiHidden/>
    <w:unhideWhenUsed/>
    <w:rsid w:val="00F51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{D7C468B5-5E32-4254-9330-6DB2DDB01037}</b:Guid>
    <b:Title>There's a S.M.A.R.T. way to write management's goals and objectives</b:Title>
    <b:Year>1981</b:Year>
    <b:Author>
      <b:Author>
        <b:NameList>
          <b:Person>
            <b:Last>Doran</b:Last>
            <b:First>G.</b:First>
            <b:Middle>T.</b:Middle>
          </b:Person>
        </b:NameList>
      </b:Author>
    </b:Author>
    <b:JournalName>Management Review (AMA FORUM)</b:JournalName>
    <b:Pages>35-36</b:Pages>
    <b:Volume>70</b:Volume>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3CBD5336-2C2D-4DA8-8EBD-C205328B54AF}">
  <ds:schemaRefs>
    <ds:schemaRef ds:uri="http://schemas.openxmlformats.org/officeDocument/2006/bibliography"/>
  </ds:schemaRefs>
</ds:datastoreItem>
</file>

<file path=customXml/itemProps2.xml><?xml version="1.0" encoding="utf-8"?>
<ds:datastoreItem xmlns:ds="http://schemas.openxmlformats.org/officeDocument/2006/customXml" ds:itemID="{F2324DC7-7128-4CF0-99CD-65AEE7D2B04B}"/>
</file>

<file path=customXml/itemProps3.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53025b5b-4dce-4802-837c-8ee1e8c6a59a"/>
    <ds:schemaRef ds:uri="23c1763f-be2a-40ae-b566-a2607c8e0f0e"/>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23</Pages>
  <Words>3544</Words>
  <Characters>19492</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22991</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almudena ruiz-iniesta</cp:lastModifiedBy>
  <cp:revision>36</cp:revision>
  <cp:lastPrinted>2019-08-05T13:11:00Z</cp:lastPrinted>
  <dcterms:created xsi:type="dcterms:W3CDTF">2024-02-08T08:42:00Z</dcterms:created>
  <dcterms:modified xsi:type="dcterms:W3CDTF">2024-03-06T11:17:00Z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