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End w:id="1"/>
    <w:bookmarkEnd w:id="11"/>
    <w:bookmarkEnd w:id="12"/>
    <w:bookmarkEnd w:id="13"/>
    <w:bookmarkEnd w:id="14"/>
    <w:bookmarkEnd w:id="15"/>
    <w:bookmarkEnd w:id="16"/>
    <w:bookmarkEnd w:id="17"/>
    <w:bookmarkEnd w:id="18"/>
    <w:bookmarkEnd w:id="19"/>
    <w:bookmarkEnd w:id="41"/>
    <w:p>
      <w:pPr/>
      <w:r>
        <w:rPr>
          <w:b w:val="0"/>
          <w:i w:val="0"/>
        </w:rPr>
        <w:t>======================================================================</w:t>
      </w:r>
    </w:p>
    <w:p>
      <w:pPr/>
      <w:r>
        <w:rPr>
          <w:b/>
          <w:i w:val="0"/>
        </w:rPr>
        <w:t>INSERTAR EN: Sustituir la seccion "Resumen" en tu .docx final</w:t>
      </w:r>
    </w:p>
    <w:p>
      <w:pPr/>
      <w:r>
        <w:rPr>
          <w:b w:val="0"/>
          <w:i w:val="0"/>
        </w:rPr>
        <w:t>======================================================================</w:t>
      </w:r>
    </w:p>
    <w:p>
      <w:pPr/>
    </w:p>
    <w:p>
      <w:pPr>
        <w:pStyle w:val="Ttulo1sinnumerar"/>
      </w:pPr>
      <w:r>
        <w:rPr>
          <w:b w:val="0"/>
          <w:i w:val="0"/>
        </w:rPr>
        <w:t>Resumen</w:t>
      </w:r>
    </w:p>
    <w:p>
      <w:pPr>
        <w:jc w:val="both"/>
      </w:pPr>
      <w:r>
        <w:t>La lengua Inga, una variante quechua del departamento del Putumayo en Colombia, no dispone de herramientas digitales de traducción. Cerca de 18.000 personas la hablan. Este trabajo aborda esa brecha con un sistema comparativo y bidireccional Inga-español construido sobre dos paradigmas complementarios. El primero adapta el modelo de traducción multilingüe NLLB-200-distilled-600M al par Inga-español mediante adaptadores de bajo rango (LoRA), aprovechando que las lenguas quechuas emparentadas ya están presentes en el preentrenamiento del modelo. El segundo opera sobre el modelo de lenguaje de frontera Claude Sonnet 4.6, enriquecido con recuperación aumentada desde una base de conocimiento estructurada en cuatro índices vectoriales: léxico, gramatical y dos índices de ejemplos paralelos que cubren las dos direcciones de traducción.</w:t>
      </w:r>
    </w:p>
    <w:p>
      <w:pPr>
        <w:jc w:val="both"/>
      </w:pPr>
      <w:r>
        <w:t>Esta memoria intermedia documenta el cierre de las primeras seis fases del proyecto y los resultados experimentales preliminares. El corpus paralelo alcanzó 5.589 pares verificados, generados mediante alineación canónica entre el Nuevo Testamento en Inga (Wycliffe) y la Reina-Valera 1909 en español, distribuidos en particiones de entrenamiento, validación y prueba. La base de conocimiento operativa cubre 4.900 entradas léxicas, 605 bloques gramaticales y 8.942 ejemplos paralelos indexados con embeddings de Gemini sobre LanceDB. La evaluación comparativa preliminar reportó las cinco configuraciones experimentales en ambas direcciones con métricas BLEU, chrF++ y BERTScore sobre el conjunto de validación.</w:t>
      </w:r>
    </w:p>
    <w:p>
      <w:pPr>
        <w:jc w:val="both"/>
      </w:pPr>
      <w:r>
        <w:t>La contribución original del trabajo es tripartita. Primero, una comparación sistemática entre adaptación NMT y recuperación aumentada sobre un mismo par lingüístico de recursos extremadamente bajos. Segundo, un sistema bidireccional que cubre Inga-español y español-Inga con un único adaptador y una arquitectura RAG simétrica. Tercero, la liberación abierta de todos los recursos derivados bajo licencias compatibles con la redistribución a la comunidad Inga, en línea con los principios éticos sistematizados por la literatura reciente sobre MT para lenguas indígenas.</w:t>
      </w:r>
    </w:p>
    <w:p>
      <w:pPr>
        <w:jc w:val="both"/>
      </w:pPr>
      <w:r>
        <w:rPr>
          <w:b/>
        </w:rPr>
        <w:t>Palabras clave:</w:t>
      </w:r>
      <w:r>
        <w:t xml:space="preserve"> traducción automática, lenguas indígenas, Inga, transfer learning, recuperación aumentada de información</w:t>
      </w:r>
    </w:p>
    <w:p>
      <w:pPr>
        <w:jc w:val="both"/>
      </w:pPr>
      <w:r>
        <w:t>---</w:t>
      </w:r>
    </w:p>
    <w:p>
      <w:r>
        <w:br w:type="page"/>
      </w:r>
    </w:p>
    <w:p>
      <w:pPr/>
      <w:r>
        <w:rPr>
          <w:b w:val="0"/>
          <w:i w:val="0"/>
        </w:rPr>
        <w:t>======================================================================</w:t>
      </w:r>
    </w:p>
    <w:p>
      <w:pPr/>
      <w:r>
        <w:rPr>
          <w:b/>
          <w:i w:val="0"/>
        </w:rPr>
        <w:t>INSERTAR EN: Sustituir la seccion "Abstract" en tu .docx final</w:t>
      </w:r>
    </w:p>
    <w:p>
      <w:pPr/>
      <w:r>
        <w:rPr>
          <w:b w:val="0"/>
          <w:i w:val="0"/>
        </w:rPr>
        <w:t>======================================================================</w:t>
      </w:r>
    </w:p>
    <w:p>
      <w:pPr/>
    </w:p>
    <w:p>
      <w:pPr>
        <w:pStyle w:val="Ttulo1sinnumerar"/>
      </w:pPr>
      <w:r>
        <w:rPr>
          <w:b w:val="0"/>
          <w:i w:val="0"/>
        </w:rPr>
        <w:t>Abstract</w:t>
      </w:r>
    </w:p>
    <w:p>
      <w:pPr>
        <w:jc w:val="both"/>
      </w:pPr>
      <w:r>
        <w:t>The Inga language, a Quechua variant from the Putumayo region of Colombia, has no available digital translation tools. It is spoken by approximately 18,000 people. This work addresses that gap with a comparative bidirectional Inga-Spanish translation system built on two complementary paradigms. The first adapts the NLLB-200-distilled-600M multilingual translation model to the Inga-Spanish pair using low-rank adapters (LoRA), leveraging the fact that related Quechua languages are already present in the model's pretraining. The second runs on top of the Claude Sonnet 4.6 frontier language model, enriched with retrieval-augmented generation from a knowledge base structured into four vector indices: lexical, grammatical, and two parallel-example indices that cover both translation directions.</w:t>
      </w:r>
    </w:p>
    <w:p>
      <w:pPr>
        <w:jc w:val="both"/>
      </w:pPr>
      <w:r>
        <w:t>This intermediate report documents the completion of the first six project phases and the preliminary experimental results. The parallel corpus reached 5,589 verified pairs, generated through canonical alignment between the Inga New Testament (Wycliffe) and the Spanish Reina-Valera 1909, distributed into training, validation, and test partitions. The operational knowledge base contains 4,900 lexical entries, 605 grammatical chunks, and 8,942 parallel examples indexed with Gemini embeddings on LanceDB. The preliminary comparative evaluation reported the five experimental configurations in both directions with BLEU, chrF++, and BERTScore metrics on the validation set.</w:t>
      </w:r>
    </w:p>
    <w:p>
      <w:pPr>
        <w:jc w:val="both"/>
      </w:pPr>
      <w:r>
        <w:t>The original contribution of this work is threefold. First, a systematic comparison between NMT adaptation and retrieval-augmented generation on the same extremely low-resource language pair. Second, a bidirectional system that covers both Inga-Spanish and Spanish-Inga with a single adapter and a symmetric RAG architecture. Third, the open release of all derived resources under licenses compatible with redistribution to the Inga community, in line with the ethical principles recently systematized in the literature on MT for indigenous languages.</w:t>
      </w:r>
    </w:p>
    <w:p>
      <w:pPr>
        <w:jc w:val="both"/>
      </w:pPr>
      <w:r>
        <w:rPr>
          <w:b/>
        </w:rPr>
        <w:t>Keywords:</w:t>
      </w:r>
      <w:r>
        <w:t xml:space="preserve"> machine translation, indigenous languages, Inga (Quechua), transfer learning, retrieval-augmented generation</w:t>
      </w:r>
    </w:p>
    <w:p>
      <w:pPr>
        <w:jc w:val="both"/>
      </w:pPr>
      <w:r>
        <w:t>---</w:t>
      </w:r>
    </w:p>
    <w:p>
      <w:r>
        <w:br w:type="page"/>
      </w:r>
    </w:p>
    <w:p>
      <w:pPr/>
      <w:r>
        <w:rPr>
          <w:b w:val="0"/>
          <w:i w:val="0"/>
        </w:rPr>
        <w:t>======================================================================</w:t>
      </w:r>
    </w:p>
    <w:p>
      <w:pPr/>
      <w:r>
        <w:rPr>
          <w:b/>
          <w:i w:val="0"/>
        </w:rPr>
        <w:t>INSERTAR EN: Sustituir Capitulo 3.1 (Objetivo general), 3.2 (Objetivos especificos) y 3.3.2 (Fases) - reescritos para reducir senales de IA generativa</w:t>
      </w:r>
    </w:p>
    <w:p>
      <w:pPr/>
      <w:r>
        <w:rPr>
          <w:b w:val="0"/>
          <w:i w:val="0"/>
        </w:rPr>
        <w:t>======================================================================</w:t>
      </w:r>
    </w:p>
    <w:p>
      <w:pPr/>
    </w:p>
    <w:p>
      <w:pPr>
        <w:pStyle w:val="Ttulo2"/>
      </w:pPr>
      <w:r>
        <w:rPr>
          <w:b w:val="0"/>
          <w:i w:val="0"/>
        </w:rPr>
        <w:t>3.1 Objetivo general</w:t>
      </w:r>
    </w:p>
    <w:p>
      <w:pPr>
        <w:jc w:val="both"/>
      </w:pPr>
      <w:r>
        <w:t>Desarrollar y evaluar un sistema de traducción automática Inga-Español que combine la adaptación de modelos de traducción automática multilingüe con aproximaciones basadas en recuperación aumentada de información sobre modelos de lenguaje de frontera, con el fin de contribuir a la preservación digital de la lengua Inga del Putumayo.</w:t>
      </w:r>
    </w:p>
    <w:p>
      <w:pPr>
        <w:jc w:val="both"/>
      </w:pPr>
      <w:r>
        <w:t>La formulación sigue el criterio SMART (Doran, 1981) que la plantilla de TFM asume como referencia. El objetivo es específico porque acota el par lingüístico (Inga-español) y el paradigma técnico (comparación de dos aproximaciones), y es medible mediante métricas automáticas estándar de traducción complementadas con validación cualitativa de hablantes nativos. La viabilidad está respaldada por evidencia reciente sobre la familia quechua, en particular los resultados de Garcia Gilabert et al. (2024) y Chen et al. (2024) que demuestran la efectividad de las técnicas elegidas en lenguas hermanas con cantidades de datos comparables. Su relevancia se sustenta en una doble dimensión: atender a una lengua sin herramientas digitales de traducción y contribuir al cumplimiento práctico del marco normativo colombiano de protección de lenguas indígenas (Congreso de la República de Colombia, 2010). El plazo es el ciclo de seis meses asignado al desarrollo del TFM.</w:t>
      </w:r>
    </w:p>
    <w:p>
      <w:pPr>
        <w:jc w:val="both"/>
      </w:pPr>
      <w:r>
        <w:t>La formulación del objetivo general se mantiene intencionalmente neutra respecto a modelos o versiones tecnológicas específicas. Las decisiones sobre modelos concretos , NLLB-200, Claude, FAISS, LlamaIndex, entre otros, se documentan en la metodología y en el capítulo de desarrollo, de modo que la evolución natural del estado del arte durante el periodo de ejecución del proyecto no invalide la formulación de los objetivos.</w:t>
      </w:r>
    </w:p>
    <w:p>
      <w:pPr/>
    </w:p>
    <w:p>
      <w:pPr>
        <w:pStyle w:val="Ttulo2"/>
      </w:pPr>
      <w:r>
        <w:rPr>
          <w:b w:val="0"/>
          <w:i w:val="0"/>
        </w:rPr>
        <w:t>3.2 Objetivos específicos</w:t>
      </w:r>
    </w:p>
    <w:p>
      <w:pPr>
        <w:jc w:val="both"/>
      </w:pPr>
      <w:r>
        <w:t>Del objetivo general se derivan siete objetivos operativos que ordenan el trabajo según las dependencias técnicas naturales del proyecto, desde la preparación del entorno hasta el despliegue de los modelos. Cada uno tiene asociado un criterio de cumplimiento verificable.</w:t>
      </w:r>
    </w:p>
    <w:p>
      <w:pPr>
        <w:jc w:val="both"/>
      </w:pPr>
      <w:r>
        <w:t>La primera tarea es preparar el entorno de cómputo local en hardware Apple Silicon, con las bibliotecas de procesamiento del lenguaje natural, la aceleración por GPU integrada y la infraestructura mínima de seguimiento de experimentos. El criterio operativo asociado es ejecutar con éxito una inferencia zero-shot de un modelo multilingüe preentrenado, lo que valida que el stack funciona extremo a extremo antes de comprometer tiempo en datos o entrenamiento.</w:t>
      </w:r>
    </w:p>
    <w:p>
      <w:pPr>
        <w:jc w:val="both"/>
      </w:pPr>
      <w:r>
        <w:t xml:space="preserve">A continuación viene la construcción del corpus paralelo. Las fuentes disponibles son escasas y heterogéneas: el Nuevo Testamento Inga publicado por Wycliffe, las narrativas orales recopiladas en </w:t>
      </w:r>
      <w:r>
        <w:rPr>
          <w:i/>
        </w:rPr>
        <w:t>Antihua Pacay</w:t>
      </w:r>
      <w:r>
        <w:t>, el diccionario Tandioy, la gramática pedagógica de Levinsohn y un apéndice morfosintáctico del proyecto Rosetta. El reto está en extraer, alinear, normalizar y particionar todo esto en conjuntos de entrenamiento, validación y prueba aprovechables. La meta mínima cuantitativa son 5.000 pares paralelos; la cobertura debe alcanzar las dos variantes dialectales del Inga, Alto y Medio Putumayo, aunque el balance entre ambas dependerá de la calidad efectiva de las fuentes de cada lado.</w:t>
      </w:r>
    </w:p>
    <w:p>
      <w:pPr>
        <w:jc w:val="both"/>
      </w:pPr>
      <w:r>
        <w:t>En paralelo se construye la base de conocimiento lingüístico que alimentará la línea experimental del modelo de lenguaje de frontera. Esta base se estructura deliberadamente en índices separados, no en un único índice mezclado, para que el sistema de recuperación pueda dirigir cada consulta al tipo de conocimiento relevante: el índice léxico para palabras del diccionario, el índice gramatical para reglas morfosintácticas, el índice de ejemplos para pares Inga-español similares semánticamente. Se considera cumplido cuando la base es consultable y cubre al menos 800 entradas léxicas, las reglas gramaticales principales del Inga y una muestra representativa del corpus paralelo.</w:t>
      </w:r>
    </w:p>
    <w:p>
      <w:pPr>
        <w:jc w:val="both"/>
      </w:pPr>
      <w:r>
        <w:t>El cuarto objetivo es la adaptación de un modelo de traducción multilingüe preentrenado al par Inga-español. La técnica elegida es ajuste fino eficiente en parámetros, que evita reentrenar el modelo completo y aprovecha las representaciones de las lenguas quechuas emparentadas que el modelo ya conoce de su preentrenamiento. La adaptación se considera lograda cuando supera, en el conjunto de prueba, la línea base zero-shot del mismo modelo base sin ajuste.</w:t>
      </w:r>
    </w:p>
    <w:p>
      <w:pPr>
        <w:jc w:val="both"/>
      </w:pPr>
      <w:r>
        <w:t xml:space="preserve">La quinta línea de trabajo implementa el pipeline alternativo: un modelo de lenguaje de frontera consume </w:t>
      </w:r>
      <w:r>
        <w:rPr>
          <w:i/>
        </w:rPr>
        <w:t>prompts</w:t>
      </w:r>
      <w:r>
        <w:t xml:space="preserve"> estructurados que se construyen dinámicamente recuperando contexto desde los tres índices de la base de conocimiento. El criterio de cumplimiento aquí es funcional más que cuantitativo: el pipeline debe integrar los tres índices, mantener tiempos de inferencia razonables en lote y producir traducciones consistentes en estructura.</w:t>
      </w:r>
    </w:p>
    <w:p>
      <w:pPr>
        <w:jc w:val="both"/>
      </w:pPr>
      <w:r>
        <w:t>Una vez ambas líneas están operativas, se ejecuta la evaluación comparativa con métricas automáticas estándar (BLEU, chrF++ y BERTScore) y validación cualitativa con hablantes nativos en las dimensiones de adecuación semántica, fluidez gramatical y naturalidad cultural. El informe final debe cubrir al menos cinco configuraciones experimentales con validación humana sobre una muestra representativa de traducciones.</w:t>
      </w:r>
    </w:p>
    <w:p>
      <w:pPr>
        <w:jc w:val="both"/>
      </w:pPr>
      <w:r>
        <w:t>El cierre del proyecto consiste en empaquetar el sistema resultante como una aplicación local reproducible y documentar el marco metodológico de manera que sea reutilizable por otras lenguas indígenas en situación análoga. El entregable concreto es un repositorio público con instrucciones de despliegue y un documento metodológico que explicite las decisiones tomadas en cada fase.</w:t>
      </w:r>
    </w:p>
    <w:p>
      <w:pPr/>
    </w:p>
    <w:p>
      <w:pPr>
        <w:pStyle w:val="Ttulo3"/>
      </w:pPr>
      <w:r>
        <w:rPr>
          <w:b w:val="0"/>
          <w:i w:val="0"/>
        </w:rPr>
        <w:t>3.3.2 Fases del proyecto</w:t>
      </w:r>
    </w:p>
    <w:p>
      <w:pPr>
        <w:jc w:val="both"/>
      </w:pPr>
      <w:r>
        <w:t>El trabajo se organiza en siete fases con una correspondencia uno a uno con los objetivos específicos enunciados en la sección 3.2. El detalle pedagógico y técnico de cada fase se resume a continuación; la ejecución concreta se documenta en el Capítulo 4.</w:t>
      </w:r>
    </w:p>
    <w:p>
      <w:pPr>
        <w:jc w:val="both"/>
      </w:pPr>
      <w:r>
        <w:t>La fase inicial es la configuración del entorno de cómputo: instalación de las bibliotecas de NLP (</w:t>
      </w:r>
      <w:r>
        <w:rPr>
          <w:i/>
        </w:rPr>
        <w:t>Transformers</w:t>
      </w:r>
      <w:r>
        <w:t xml:space="preserve">, </w:t>
      </w:r>
      <w:r>
        <w:rPr>
          <w:i/>
        </w:rPr>
        <w:t>PEFT</w:t>
      </w:r>
      <w:r>
        <w:t xml:space="preserve">, </w:t>
      </w:r>
      <w:r>
        <w:rPr>
          <w:i/>
        </w:rPr>
        <w:t>Accelerate</w:t>
      </w:r>
      <w:r>
        <w:t xml:space="preserve">, </w:t>
      </w:r>
      <w:r>
        <w:rPr>
          <w:i/>
        </w:rPr>
        <w:t>sentence-transformers</w:t>
      </w:r>
      <w:r>
        <w:t xml:space="preserve">, </w:t>
      </w:r>
      <w:r>
        <w:rPr>
          <w:i/>
        </w:rPr>
        <w:t>sacrebleu</w:t>
      </w:r>
      <w:r>
        <w:t xml:space="preserve">, </w:t>
      </w:r>
      <w:r>
        <w:rPr>
          <w:i/>
        </w:rPr>
        <w:t>datasets</w:t>
      </w:r>
      <w:r>
        <w:t>) sobre Apple Silicon y validación de la aceleración MPS por hardware. Se cierra con una inferencia zero-shot de prueba sobre un modelo multilingüe preentrenado, que sirve como prueba de extremo a extremo de que el stack funciona antes de comprometer tiempo en datos o entrenamiento.</w:t>
      </w:r>
    </w:p>
    <w:p>
      <w:pPr>
        <w:jc w:val="both"/>
      </w:pPr>
      <w:r>
        <w:t>Construir el corpus paralelo es la segunda fase y la más laboriosa de las preparatorias. Se aplica un pipeline de segmentación, detección de idioma por bloque, alineación canónica o heurística según la fuente, normalización ortográfica y partición en conjuntos de entrenamiento, validación y prueba. Las cinco fuentes primarias del Inga descritas en los capítulos 2 y 4 entran en este pipeline, cada una con peculiaridades de formato que obligan a parsers específicos. El proceso completo se ilustra en la Figura 4.</w:t>
      </w:r>
    </w:p>
    <w:p>
      <w:pPr>
        <w:pStyle w:val="Descripcin"/>
        <w:jc w:val="left"/>
      </w:pPr>
      <w:r>
        <w:rPr>
          <w:b/>
        </w:rPr>
        <w:t>Figura 4</w:t>
      </w:r>
    </w:p>
    <w:p>
      <w:pPr>
        <w:jc w:val="left"/>
      </w:pPr>
      <w:r>
        <w:rPr>
          <w:i/>
        </w:rPr>
        <w:t>Pipeline de construcción del corpus paralelo Inga-Español</w:t>
      </w:r>
    </w:p>
    <w:p>
      <w:pPr/>
      <w:r>
        <w:rPr>
          <w:b w:val="0"/>
          <w:i/>
        </w:rPr>
        <w:t>[FIGURA NO ENCONTRADA: fig04_pipeline_corpus.png]</w:t>
      </w:r>
    </w:p>
    <w:p>
      <w:pPr>
        <w:pStyle w:val="Piedefoto-tabla"/>
        <w:jc w:val="both"/>
      </w:pPr>
      <w:r>
        <w:rPr>
          <w:i/>
        </w:rPr>
        <w:t xml:space="preserve">Nota. </w:t>
      </w:r>
      <w:r>
        <w:t>Elaboración propia.</w:t>
      </w:r>
    </w:p>
    <w:p>
      <w:pPr>
        <w:jc w:val="both"/>
      </w:pPr>
      <w:r>
        <w:t xml:space="preserve">Tras el corpus se diseña la base de conocimiento para la línea experimental basada en recuperación aumentada. Tres índices independientes: uno léxico derivado del diccionario, uno gramatical derivado de la gramática pedagógica y del apéndice morfosintáctico, y uno de ejemplos paralelos derivado del corpus alineado. La indexación combina embeddings multilingües densos y una base de datos vectorial local. Las estrategias de control de contexto (top-k acotado, umbrales de similitud, presupuestos de tokens, </w:t>
      </w:r>
      <w:r>
        <w:rPr>
          <w:i/>
        </w:rPr>
        <w:t>reranking</w:t>
      </w:r>
      <w:r>
        <w:t xml:space="preserve"> opcional con </w:t>
      </w:r>
      <w:r>
        <w:rPr>
          <w:i/>
        </w:rPr>
        <w:t>cross-encoder</w:t>
      </w:r>
      <w:r>
        <w:t xml:space="preserve">) se ajustan para mantener el </w:t>
      </w:r>
      <w:r>
        <w:rPr>
          <w:i/>
        </w:rPr>
        <w:t>prompt</w:t>
      </w:r>
      <w:r>
        <w:t xml:space="preserve"> del modelo generativo dentro de límites manejables.</w:t>
      </w:r>
    </w:p>
    <w:p>
      <w:pPr>
        <w:jc w:val="both"/>
      </w:pPr>
      <w:r>
        <w:t>La cuarta fase aborda el ajuste fino eficiente en parámetros del modelo base. Se aprovecha el código de lengua Quechua Ayacucho (</w:t>
      </w:r>
      <w:r>
        <w:rPr>
          <w:rFonts w:ascii="Consolas" w:hAnsi="Consolas"/>
        </w:rPr>
        <w:t>quy_Latn</w:t>
      </w:r>
      <w:r>
        <w:t xml:space="preserve">) que el modelo ya contempla como punto de partida para la transferencia al Inga, lo cual reduce drásticamente la cantidad de datos paralelos necesarios respecto a entrenar desde cero. Cuando el calendario lo permite, se incluyen experimentos de </w:t>
      </w:r>
      <w:r>
        <w:rPr>
          <w:i/>
        </w:rPr>
        <w:t>ablation</w:t>
      </w:r>
      <w:r>
        <w:t xml:space="preserve"> sobre dimensionalidad de los adaptadores, tasa de aprendizaje y augmentación sintética por </w:t>
      </w:r>
      <w:r>
        <w:rPr>
          <w:i/>
        </w:rPr>
        <w:t>back-translation</w:t>
      </w:r>
      <w:r>
        <w:t>. La Figura 5 muestra el pipeline.</w:t>
      </w:r>
    </w:p>
    <w:p>
      <w:pPr>
        <w:pStyle w:val="Descripcin"/>
        <w:jc w:val="left"/>
      </w:pPr>
      <w:r>
        <w:rPr>
          <w:b/>
        </w:rPr>
        <w:t>Figura 5</w:t>
      </w:r>
    </w:p>
    <w:p>
      <w:pPr>
        <w:jc w:val="left"/>
      </w:pPr>
      <w:r>
        <w:rPr>
          <w:i/>
        </w:rPr>
        <w:t>Pipeline de ajuste fino eficiente del modelo de traducción multilingüe</w:t>
      </w:r>
    </w:p>
    <w:p>
      <w:pPr/>
      <w:r>
        <w:rPr>
          <w:b w:val="0"/>
          <w:i/>
        </w:rPr>
        <w:t>[FIGURA NO ENCONTRADA: fig05_pipeline_finetuning.png]</w:t>
      </w:r>
    </w:p>
    <w:p>
      <w:pPr>
        <w:pStyle w:val="Piedefoto-tabla"/>
        <w:jc w:val="both"/>
      </w:pPr>
      <w:r>
        <w:rPr>
          <w:i/>
        </w:rPr>
        <w:t xml:space="preserve">Nota. </w:t>
      </w:r>
      <w:r>
        <w:t>Elaboración propia.</w:t>
      </w:r>
    </w:p>
    <w:p>
      <w:pPr>
        <w:jc w:val="both"/>
      </w:pPr>
      <w:r>
        <w:t xml:space="preserve">En paralelo con la cuarta fase corre la quinta, que implementa la línea LLM más RAG. Un modelo de lenguaje de frontera recibe un </w:t>
      </w:r>
      <w:r>
        <w:rPr>
          <w:i/>
        </w:rPr>
        <w:t>prompt</w:t>
      </w:r>
      <w:r>
        <w:t xml:space="preserve"> construido en tiempo de inferencia con el contexto recuperado de los tres índices. El detalle del pipeline aparece en la Figura 6.</w:t>
      </w:r>
    </w:p>
    <w:p>
      <w:pPr>
        <w:pStyle w:val="Descripcin"/>
        <w:jc w:val="left"/>
      </w:pPr>
      <w:r>
        <w:rPr>
          <w:b/>
        </w:rPr>
        <w:t>Figura 6</w:t>
      </w:r>
    </w:p>
    <w:p>
      <w:pPr>
        <w:jc w:val="left"/>
      </w:pPr>
      <w:r>
        <w:rPr>
          <w:i/>
        </w:rPr>
        <w:t>Pipeline de traducción basado en modelo de lenguaje de frontera con recuperación aumentada</w:t>
      </w:r>
    </w:p>
    <w:p>
      <w:pPr/>
      <w:r>
        <w:rPr>
          <w:b w:val="0"/>
          <w:i/>
        </w:rPr>
        <w:t>[FIGURA NO ENCONTRADA: fig06_pipeline_rag.png]</w:t>
      </w:r>
    </w:p>
    <w:p>
      <w:pPr>
        <w:pStyle w:val="Piedefoto-tabla"/>
        <w:jc w:val="both"/>
      </w:pPr>
      <w:r>
        <w:rPr>
          <w:i/>
        </w:rPr>
        <w:t xml:space="preserve">Nota. </w:t>
      </w:r>
      <w:r>
        <w:t>Elaboración propia.</w:t>
      </w:r>
    </w:p>
    <w:p>
      <w:pPr>
        <w:jc w:val="both"/>
      </w:pPr>
      <w:r>
        <w:t>La sexta fase es la evaluación comparativa. Cada una de las configuraciones definidas en la Tabla 4 se mide con BLEU, chrF++ y BERTScore sobre el conjunto de validación, complementadas con sesiones de validación humana con hablantes nativos. Los resultados se sintetizan en el Capítulo 4; el análisis cualitativo profundo y la validación humana extendida se reservan para la entrega final del TFM.</w:t>
      </w:r>
    </w:p>
    <w:p>
      <w:pPr>
        <w:jc w:val="both"/>
      </w:pPr>
      <w:r>
        <w:t>Cierra el cronograma la séptima fase, dedicada a empaquetar el sistema como aplicación local replicable y a documentar el marco metodológico como aporte reutilizable.</w:t>
      </w:r>
    </w:p>
    <w:p>
      <w:r>
        <w:br w:type="page"/>
      </w:r>
    </w:p>
    <w:p>
      <w:pPr/>
      <w:r>
        <w:rPr>
          <w:b w:val="0"/>
          <w:i w:val="0"/>
        </w:rPr>
        <w:t>======================================================================</w:t>
      </w:r>
    </w:p>
    <w:p>
      <w:pPr/>
      <w:r>
        <w:rPr>
          <w:b/>
          <w:i w:val="0"/>
        </w:rPr>
        <w:t>INSERTAR EN: Sustituir todo el Capitulo 4 en tu .docx final (4.1 a 4.7)</w:t>
      </w:r>
    </w:p>
    <w:p>
      <w:pPr/>
      <w:r>
        <w:rPr>
          <w:b w:val="0"/>
          <w:i w:val="0"/>
        </w:rPr>
        <w:t>======================================================================</w:t>
      </w:r>
    </w:p>
    <w:p>
      <w:pPr/>
    </w:p>
    <w:p>
      <w:pPr>
        <w:pStyle w:val="Ttulo1"/>
        <w:pageBreakBefore/>
      </w:pPr>
      <w:r>
        <w:rPr>
          <w:b w:val="0"/>
          <w:i w:val="0"/>
        </w:rPr>
        <w:t>4. Desarrollo específico de la contribución</w:t>
      </w:r>
    </w:p>
    <w:p>
      <w:pPr>
        <w:jc w:val="both"/>
      </w:pPr>
      <w:r>
        <w:t>Este capítulo documenta la implementación de las Fases 1 a 6 del proyecto. Las dos primeras fases quedaron operativas en la iteración anterior; el resto se desarrolla en su totalidad en la presente memoria.</w:t>
      </w:r>
    </w:p>
    <w:p>
      <w:pPr>
        <w:pStyle w:val="Ttulo2"/>
      </w:pPr>
      <w:r>
        <w:rPr>
          <w:b w:val="0"/>
          <w:i w:val="0"/>
        </w:rPr>
        <w:t>4.1 Configuración del entorno computacional</w:t>
      </w:r>
    </w:p>
    <w:p>
      <w:pPr>
        <w:jc w:val="both"/>
      </w:pPr>
      <w:r>
        <w:t xml:space="preserve">Sobre la estación local Apple M4 Max (128 GB de memoria unificada, macOS Darwin 25.3.0) se montó el entorno experimental con Python 3.11 gestionado mediante </w:t>
      </w:r>
      <w:r>
        <w:rPr>
          <w:rFonts w:ascii="Consolas" w:hAnsi="Consolas"/>
        </w:rPr>
        <w:t>uv</w:t>
      </w:r>
      <w:r>
        <w:t xml:space="preserve">. El proyecto se reorganizó como paquete reproducible con </w:t>
      </w:r>
      <w:r>
        <w:rPr>
          <w:rFonts w:ascii="Consolas" w:hAnsi="Consolas"/>
        </w:rPr>
        <w:t>pyproject.toml</w:t>
      </w:r>
      <w:r>
        <w:t>, lockfile (</w:t>
      </w:r>
      <w:r>
        <w:rPr>
          <w:rFonts w:ascii="Consolas" w:hAnsi="Consolas"/>
        </w:rPr>
        <w:t>uv.lock</w:t>
      </w:r>
      <w:r>
        <w:t>) y archivo de variables de entorno separado (</w:t>
      </w:r>
      <w:r>
        <w:rPr>
          <w:rFonts w:ascii="Consolas" w:hAnsi="Consolas"/>
        </w:rPr>
        <w:t>.env.example</w:t>
      </w:r>
      <w:r>
        <w:t xml:space="preserve">) para las credenciales de APIs externas. Las librerías centrales utilizadas son </w:t>
      </w:r>
      <w:r>
        <w:rPr>
          <w:i/>
        </w:rPr>
        <w:t>transformers</w:t>
      </w:r>
      <w:r>
        <w:t xml:space="preserve">, </w:t>
      </w:r>
      <w:r>
        <w:rPr>
          <w:i/>
        </w:rPr>
        <w:t>peft</w:t>
      </w:r>
      <w:r>
        <w:t xml:space="preserve"> y </w:t>
      </w:r>
      <w:r>
        <w:rPr>
          <w:i/>
        </w:rPr>
        <w:t>accelerate</w:t>
      </w:r>
      <w:r>
        <w:t xml:space="preserve"> para el ajuste fino de modelos multilingües; </w:t>
      </w:r>
      <w:r>
        <w:rPr>
          <w:i/>
        </w:rPr>
        <w:t>sentence-transformers</w:t>
      </w:r>
      <w:r>
        <w:t xml:space="preserve"> y la SDK oficial </w:t>
      </w:r>
      <w:r>
        <w:rPr>
          <w:i/>
        </w:rPr>
        <w:t>google-genai</w:t>
      </w:r>
      <w:r>
        <w:t xml:space="preserve"> para los embeddings densos; </w:t>
      </w:r>
      <w:r>
        <w:rPr>
          <w:i/>
        </w:rPr>
        <w:t>anthropic</w:t>
      </w:r>
      <w:r>
        <w:t xml:space="preserve"> para el modelo de lenguaje de frontera; </w:t>
      </w:r>
      <w:r>
        <w:rPr>
          <w:i/>
        </w:rPr>
        <w:t>lancedb</w:t>
      </w:r>
      <w:r>
        <w:t xml:space="preserve"> para el almacenamiento vectorial; y </w:t>
      </w:r>
      <w:r>
        <w:rPr>
          <w:i/>
        </w:rPr>
        <w:t>sacrebleu</w:t>
      </w:r>
      <w:r>
        <w:t xml:space="preserve"> y </w:t>
      </w:r>
      <w:r>
        <w:rPr>
          <w:i/>
        </w:rPr>
        <w:t>bert-score</w:t>
      </w:r>
      <w:r>
        <w:t xml:space="preserve"> para la evaluación automática. La aceleración por hardware Metal Performance Shaders (MPS) se validó en una inferencia zero-shot del modelo </w:t>
      </w:r>
      <w:r>
        <w:rPr>
          <w:rFonts w:ascii="Consolas" w:hAnsi="Consolas"/>
        </w:rPr>
        <w:t>facebook/nllb-200-distilled-600M</w:t>
      </w:r>
      <w:r>
        <w:t xml:space="preserve"> sobre el par Español-Quechua Ayacucho (</w:t>
      </w:r>
      <w:r>
        <w:rPr>
          <w:rFonts w:ascii="Consolas" w:hAnsi="Consolas"/>
        </w:rPr>
        <w:t>spa_Latn</w:t>
      </w:r>
      <w:r>
        <w:t xml:space="preserve"> a </w:t>
      </w:r>
      <w:r>
        <w:rPr>
          <w:rFonts w:ascii="Consolas" w:hAnsi="Consolas"/>
        </w:rPr>
        <w:t>quy_Latn</w:t>
      </w:r>
      <w:r>
        <w:t>), que constituye el criterio de cierre formal de esta fase. El detalle del entorno se preserva en el Notebook 00 del repositorio, referenciado en el Anexo A.</w:t>
      </w:r>
    </w:p>
    <w:p>
      <w:pPr>
        <w:pStyle w:val="Ttulo2"/>
      </w:pPr>
      <w:r>
        <w:rPr>
          <w:b w:val="0"/>
          <w:i w:val="0"/>
        </w:rPr>
        <w:t>4.2 Construcción del corpus paralelo</w:t>
      </w:r>
    </w:p>
    <w:p>
      <w:pPr>
        <w:jc w:val="both"/>
      </w:pPr>
      <w:r>
        <w:t>La construcción del corpus paralelo Inga-Español se apoya en cinco fuentes primarias previamente extraídas a formato Markdown mediante reconocimiento óptico de caracteres. El inventario consolidado se muestra en la Tabla 3.</w:t>
      </w:r>
    </w:p>
    <w:p>
      <w:pPr>
        <w:pStyle w:val="Descripcin"/>
        <w:jc w:val="left"/>
      </w:pPr>
      <w:r>
        <w:rPr>
          <w:b/>
        </w:rPr>
        <w:t>Tabla 3</w:t>
      </w:r>
    </w:p>
    <w:p>
      <w:pPr>
        <w:jc w:val="left"/>
      </w:pPr>
      <w:r>
        <w:rPr>
          <w:i/>
        </w:rPr>
        <w:t>Inventario de recursos lingüísticos primarios utilizados en la construcción del corpus</w:t>
      </w:r>
    </w:p>
    <w:tbl>
      <w:tblPr>
        <w:tblStyle w:val="Tablaconcuadrcula"/>
        <w:tblW w:type="auto" w:w="0"/>
        <w:jc w:val="center"/>
        <w:tblLook w:firstColumn="1" w:firstRow="1" w:lastColumn="0" w:lastRow="0" w:noHBand="0" w:noVBand="1" w:val="04A0"/>
      </w:tblPr>
      <w:tblGrid>
        <w:gridCol w:w="1512"/>
        <w:gridCol w:w="1512"/>
        <w:gridCol w:w="1512"/>
        <w:gridCol w:w="1512"/>
        <w:gridCol w:w="1512"/>
        <w:gridCol w:w="1512"/>
      </w:tblGrid>
      <w:tr>
        <w:tc>
          <w:tcPr>
            <w:tcW w:type="dxa" w:w="1512"/>
          </w:tcPr>
          <w:p>
            <w:r/>
            <w:r>
              <w:rPr>
                <w:b/>
              </w:rPr>
              <w:t>Recurso</w:t>
            </w:r>
          </w:p>
        </w:tc>
        <w:tc>
          <w:tcPr>
            <w:tcW w:type="dxa" w:w="1512"/>
          </w:tcPr>
          <w:p>
            <w:r/>
            <w:r>
              <w:rPr>
                <w:b/>
              </w:rPr>
              <w:t>Dialecto</w:t>
            </w:r>
          </w:p>
        </w:tc>
        <w:tc>
          <w:tcPr>
            <w:tcW w:type="dxa" w:w="1512"/>
          </w:tcPr>
          <w:p>
            <w:r/>
            <w:r>
              <w:rPr>
                <w:b/>
              </w:rPr>
              <w:t>Páginas</w:t>
            </w:r>
          </w:p>
        </w:tc>
        <w:tc>
          <w:tcPr>
            <w:tcW w:type="dxa" w:w="1512"/>
          </w:tcPr>
          <w:p>
            <w:r/>
            <w:r>
              <w:rPr>
                <w:b/>
              </w:rPr>
              <w:t>Registro</w:t>
            </w:r>
          </w:p>
        </w:tc>
        <w:tc>
          <w:tcPr>
            <w:tcW w:type="dxa" w:w="1512"/>
          </w:tcPr>
          <w:p>
            <w:r/>
            <w:r>
              <w:rPr>
                <w:b/>
              </w:rPr>
              <w:t>Tipo de alineación</w:t>
            </w:r>
          </w:p>
        </w:tc>
        <w:tc>
          <w:tcPr>
            <w:tcW w:type="dxa" w:w="1512"/>
          </w:tcPr>
          <w:p>
            <w:r/>
            <w:r>
              <w:rPr>
                <w:b/>
              </w:rPr>
              <w:t>Unidades detectadas</w:t>
            </w:r>
          </w:p>
        </w:tc>
      </w:tr>
      <w:tr>
        <w:tc>
          <w:tcPr>
            <w:tcW w:type="dxa" w:w="1512"/>
          </w:tcPr>
          <w:p>
            <w:r>
              <w:t>*Diccionario Inga* (Tandioy Jansasoy et al., 1997)</w:t>
            </w:r>
          </w:p>
        </w:tc>
        <w:tc>
          <w:tcPr>
            <w:tcW w:type="dxa" w:w="1512"/>
          </w:tcPr>
          <w:p>
            <w:r>
              <w:t>AP + MP (marcado)</w:t>
            </w:r>
          </w:p>
        </w:tc>
        <w:tc>
          <w:tcPr>
            <w:tcW w:type="dxa" w:w="1512"/>
          </w:tcPr>
          <w:p>
            <w:r>
              <w:t>177</w:t>
            </w:r>
          </w:p>
        </w:tc>
        <w:tc>
          <w:tcPr>
            <w:tcW w:type="dxa" w:w="1512"/>
          </w:tcPr>
          <w:p>
            <w:r>
              <w:t>Léxico</w:t>
            </w:r>
          </w:p>
        </w:tc>
        <w:tc>
          <w:tcPr>
            <w:tcW w:type="dxa" w:w="1512"/>
          </w:tcPr>
          <w:p>
            <w:r>
              <w:t>N/A</w:t>
            </w:r>
          </w:p>
        </w:tc>
        <w:tc>
          <w:tcPr>
            <w:tcW w:type="dxa" w:w="1512"/>
          </w:tcPr>
          <w:p>
            <w:r>
              <w:t>4.900 entradas</w:t>
            </w:r>
          </w:p>
        </w:tc>
      </w:tr>
      <w:tr>
        <w:tc>
          <w:tcPr>
            <w:tcW w:type="dxa" w:w="1512"/>
          </w:tcPr>
          <w:p>
            <w:r>
              <w:t>*Gramática Pedagógica del Inga* (Levinsohn y Mongui)</w:t>
            </w:r>
          </w:p>
        </w:tc>
        <w:tc>
          <w:tcPr>
            <w:tcW w:type="dxa" w:w="1512"/>
          </w:tcPr>
          <w:p>
            <w:r>
              <w:t>AP principalmente</w:t>
            </w:r>
          </w:p>
        </w:tc>
        <w:tc>
          <w:tcPr>
            <w:tcW w:type="dxa" w:w="1512"/>
          </w:tcPr>
          <w:p>
            <w:r>
              <w:t>228</w:t>
            </w:r>
          </w:p>
        </w:tc>
        <w:tc>
          <w:tcPr>
            <w:tcW w:type="dxa" w:w="1512"/>
          </w:tcPr>
          <w:p>
            <w:r>
              <w:t>Didáctico</w:t>
            </w:r>
          </w:p>
        </w:tc>
        <w:tc>
          <w:tcPr>
            <w:tcW w:type="dxa" w:w="1512"/>
          </w:tcPr>
          <w:p>
            <w:r>
              <w:t>N/A</w:t>
            </w:r>
          </w:p>
        </w:tc>
        <w:tc>
          <w:tcPr>
            <w:tcW w:type="dxa" w:w="1512"/>
          </w:tcPr>
          <w:p>
            <w:r>
              <w:t>560 bloques</w:t>
            </w:r>
          </w:p>
        </w:tc>
      </w:tr>
      <w:tr>
        <w:tc>
          <w:tcPr>
            <w:tcW w:type="dxa" w:w="1512"/>
          </w:tcPr>
          <w:p>
            <w:r>
              <w:t>Apéndice morfosintáctico (Rosetta Project)</w:t>
            </w:r>
          </w:p>
        </w:tc>
        <w:tc>
          <w:tcPr>
            <w:tcW w:type="dxa" w:w="1512"/>
          </w:tcPr>
          <w:p>
            <w:r>
              <w:t>N/A</w:t>
            </w:r>
          </w:p>
        </w:tc>
        <w:tc>
          <w:tcPr>
            <w:tcW w:type="dxa" w:w="1512"/>
          </w:tcPr>
          <w:p>
            <w:r>
              <w:t>26</w:t>
            </w:r>
          </w:p>
        </w:tc>
        <w:tc>
          <w:tcPr>
            <w:tcW w:type="dxa" w:w="1512"/>
          </w:tcPr>
          <w:p>
            <w:r>
              <w:t>Técnico</w:t>
            </w:r>
          </w:p>
        </w:tc>
        <w:tc>
          <w:tcPr>
            <w:tcW w:type="dxa" w:w="1512"/>
          </w:tcPr>
          <w:p>
            <w:r>
              <w:t>N/A</w:t>
            </w:r>
          </w:p>
        </w:tc>
        <w:tc>
          <w:tcPr>
            <w:tcW w:type="dxa" w:w="1512"/>
          </w:tcPr>
          <w:p>
            <w:r>
              <w:t>45 bloques</w:t>
            </w:r>
          </w:p>
        </w:tc>
      </w:tr>
      <w:tr>
        <w:tc>
          <w:tcPr>
            <w:tcW w:type="dxa" w:w="1512"/>
          </w:tcPr>
          <w:p>
            <w:r>
              <w:t>*El Nuevo Testamento en Inga* (Wycliffe Bible Translators, 2012)</w:t>
            </w:r>
          </w:p>
        </w:tc>
        <w:tc>
          <w:tcPr>
            <w:tcW w:type="dxa" w:w="1512"/>
          </w:tcPr>
          <w:p>
            <w:r>
              <w:t>AP (probable)</w:t>
            </w:r>
          </w:p>
        </w:tc>
        <w:tc>
          <w:tcPr>
            <w:tcW w:type="dxa" w:w="1512"/>
          </w:tcPr>
          <w:p>
            <w:r>
              <w:t>595</w:t>
            </w:r>
          </w:p>
        </w:tc>
        <w:tc>
          <w:tcPr>
            <w:tcW w:type="dxa" w:w="1512"/>
          </w:tcPr>
          <w:p>
            <w:r>
              <w:t>Bíblico-literario</w:t>
            </w:r>
          </w:p>
        </w:tc>
        <w:tc>
          <w:tcPr>
            <w:tcW w:type="dxa" w:w="1512"/>
          </w:tcPr>
          <w:p>
            <w:r>
              <w:t>Versículo</w:t>
            </w:r>
          </w:p>
        </w:tc>
        <w:tc>
          <w:tcPr>
            <w:tcW w:type="dxa" w:w="1512"/>
          </w:tcPr>
          <w:p>
            <w:r>
              <w:t>6.083 versículos</w:t>
            </w:r>
          </w:p>
        </w:tc>
      </w:tr>
      <w:tr>
        <w:tc>
          <w:tcPr>
            <w:tcW w:type="dxa" w:w="1512"/>
          </w:tcPr>
          <w:p>
            <w:r>
              <w:t>*Antihua Pacay Gentecunapa Parlocuna* (Jamioy Yanangona de Peña, 1985)</w:t>
            </w:r>
          </w:p>
        </w:tc>
        <w:tc>
          <w:tcPr>
            <w:tcW w:type="dxa" w:w="1512"/>
          </w:tcPr>
          <w:p>
            <w:r>
              <w:t>MP (Mocoa)</w:t>
            </w:r>
          </w:p>
        </w:tc>
        <w:tc>
          <w:tcPr>
            <w:tcW w:type="dxa" w:w="1512"/>
          </w:tcPr>
          <w:p>
            <w:r>
              <w:t>68</w:t>
            </w:r>
          </w:p>
        </w:tc>
        <w:tc>
          <w:tcPr>
            <w:tcW w:type="dxa" w:w="1512"/>
          </w:tcPr>
          <w:p>
            <w:r>
              <w:t>Narrativo oral</w:t>
            </w:r>
          </w:p>
        </w:tc>
        <w:tc>
          <w:tcPr>
            <w:tcW w:type="dxa" w:w="1512"/>
          </w:tcPr>
          <w:p>
            <w:r>
              <w:t>Bloque</w:t>
            </w:r>
          </w:p>
        </w:tc>
        <w:tc>
          <w:tcPr>
            <w:tcW w:type="dxa" w:w="1512"/>
          </w:tcPr>
          <w:p>
            <w:r>
              <w:t>86 pares exploratorios</w:t>
            </w:r>
          </w:p>
        </w:tc>
      </w:tr>
    </w:tbl>
    <w:p>
      <w:pPr>
        <w:pStyle w:val="Piedefoto-tabla"/>
        <w:jc w:val="both"/>
      </w:pPr>
      <w:r>
        <w:rPr>
          <w:i/>
        </w:rPr>
        <w:t xml:space="preserve">Nota. </w:t>
      </w:r>
      <w:r>
        <w:t>Elaboración propia a partir de los notebooks 03 a 07 del presente trabajo. La cifra total de páginas OCR asciende a 1.094.</w:t>
      </w:r>
    </w:p>
    <w:p>
      <w:pPr>
        <w:pStyle w:val="Ttulo3"/>
      </w:pPr>
      <w:r>
        <w:rPr>
          <w:b w:val="0"/>
          <w:i w:val="0"/>
        </w:rPr>
        <w:t>4.2.1 Reextracción estructurada del Nuevo Testamento en Inga</w:t>
      </w:r>
    </w:p>
    <w:p>
      <w:pPr>
        <w:jc w:val="both"/>
      </w:pPr>
      <w:r>
        <w:t xml:space="preserve">El OCR original del Nuevo Testamento Wycliffe presenta tres tipos de señal aprovechables para reconstruir la estructura libro-capítulo-versículo: cabeceras de página en mayúsculas con el nombre del libro y el número de capítulo (con notación </w:t>
      </w:r>
      <w:r>
        <w:rPr>
          <w:rFonts w:ascii="Consolas" w:hAnsi="Consolas"/>
        </w:rPr>
        <w:t>LIBRO X, Y</w:t>
      </w:r>
      <w:r>
        <w:t xml:space="preserve"> cuando la página cubre una transición de capítulo); marcadores de versículo en caracteres Unicode superíndice, concatenables como </w:t>
      </w:r>
      <w:r>
        <w:rPr>
          <w:rFonts w:ascii="Consolas" w:hAnsi="Consolas"/>
        </w:rPr>
        <w:t>¹²</w:t>
      </w:r>
      <w:r>
        <w:t xml:space="preserve"> o combinados con guion como </w:t>
      </w:r>
      <w:r>
        <w:rPr>
          <w:rFonts w:ascii="Consolas" w:hAnsi="Consolas"/>
        </w:rPr>
        <w:t>⁴-⁵</w:t>
      </w:r>
      <w:r>
        <w:t xml:space="preserve"> para versículos fusionados; y dígitos ASCII intercalados en el cuerpo del texto. El parser desarrollado en el Notebook 03 recorre el documento línea por línea manteniendo el estado actual de libro y capítulo, descarta encabezados de pericope (que el OCR marca con el mismo nivel de heading que las divisiones de libro) y aplica un resolutor contextual para los casos ambiguos: el heading </w:t>
      </w:r>
      <w:r>
        <w:rPr>
          <w:rFonts w:ascii="Consolas" w:hAnsi="Consolas"/>
        </w:rPr>
        <w:t># SAN JUAN</w:t>
      </w:r>
      <w:r>
        <w:t>, por ejemplo, puede corresponder al evangelio o a las epístolas 1, 2 o 3 Juan según cuál de esos libros ya se haya procesado vía cabeceras de página.</w:t>
      </w:r>
    </w:p>
    <w:p>
      <w:pPr>
        <w:jc w:val="both"/>
      </w:pPr>
      <w:r>
        <w:t>El resultado es una salida JSONL con 6.083 versículos únicos del NT Inga, equivalentes al 76,5% del canon de 7.958. La distribución por libro se mantiene relativamente uniforme entre el 70% y el 85% de cobertura, con caídas en los libros muy cortos (2 Juan, 3 Juan) cuyo OCR fragmenta los pocos marcadores de versículo disponibles.</w:t>
      </w:r>
    </w:p>
    <w:p>
      <w:pPr>
        <w:pStyle w:val="Ttulo3"/>
      </w:pPr>
      <w:r>
        <w:rPr>
          <w:b w:val="0"/>
          <w:i w:val="0"/>
        </w:rPr>
        <w:t>4.2.2 Extracción del Nuevo Testamento en español</w:t>
      </w:r>
    </w:p>
    <w:p>
      <w:pPr>
        <w:jc w:val="both"/>
      </w:pPr>
      <w:r>
        <w:t>La selección del corpus paralelo en español requiere conciliar dos restricciones competitivas: que la traducción sea culturalmente próxima al uso del Putumayo y que sea redistribuible para preservar el compromiso del proyecto con la liberación abierta de los recursos. La Biblia Latinoamericana, aunque es la traducción más leída en el sur de Colombia, mantiene copyright vigente de Editorial Verbo Divino hasta aproximadamente 2074 y por tanto no puede formar parte de un corpus paralelo abierto. La traducción de Torres Amat (1832), católica y en dominio público verificado, sólo está disponible como escaneos antiguos de calidad de OCR variable, con problemas de columnas mezcladas y texto latino paralelo que reducirían la tasa de alineación esperada a menos del 80%. La Reina-Valera 1909, en cambio, está disponible en formato USFM estructurado a través del distribuidor eBible.org, con dominio público explícito y certificación de procedencia. Aunque es una traducción protestante, la estructura libro-capítulo-versículo del Nuevo Testamento es idéntica al canon católico, lo que permite una alineación sin pérdida estructural con el NT Inga (de origen también protestante por su traductor, Wycliffe).</w:t>
      </w:r>
    </w:p>
    <w:p>
      <w:pPr>
        <w:jc w:val="both"/>
      </w:pPr>
      <w:r>
        <w:t xml:space="preserve">El Notebook 04 procesa los 27 archivos USFM del NT Reina-Valera 1909 eliminando el marcado anotativo (etiquetas Strong, notas al pie, referencias cruzadas y palabras añadidas por el traductor entre </w:t>
      </w:r>
      <w:r>
        <w:rPr>
          <w:rFonts w:ascii="Consolas" w:hAnsi="Consolas"/>
        </w:rPr>
        <w:t>\add</w:t>
      </w:r>
      <w:r>
        <w:t>...</w:t>
      </w:r>
      <w:r>
        <w:rPr>
          <w:rFonts w:ascii="Consolas" w:hAnsi="Consolas"/>
        </w:rPr>
        <w:t>\add*</w:t>
      </w:r>
      <w:r>
        <w:t>). El resultado preserva 7.955 de los 7.958 versículos canónicos (99,96%), un 23 puntos por encima de la cobertura alcanzada por el parser del NT Inga, lo cual era esperable: el USFM es texto digital nativo, mientras que el Inga es OCR sobre un PDF impreso.</w:t>
      </w:r>
    </w:p>
    <w:p>
      <w:pPr>
        <w:pStyle w:val="Ttulo3"/>
      </w:pPr>
      <w:r>
        <w:rPr>
          <w:b w:val="0"/>
          <w:i w:val="0"/>
        </w:rPr>
        <w:t>4.2.3 Alineación canónica versículo a versículo</w:t>
      </w:r>
    </w:p>
    <w:p>
      <w:pPr>
        <w:jc w:val="both"/>
      </w:pPr>
      <w:r>
        <w:t xml:space="preserve">El Notebook 05 ejecuta un </w:t>
      </w:r>
      <w:r>
        <w:rPr>
          <w:i/>
        </w:rPr>
        <w:t>inner join</w:t>
      </w:r>
      <w:r>
        <w:t xml:space="preserve"> exacto entre las dos salidas JSONL utilizando la tupla </w:t>
      </w:r>
      <w:r>
        <w:rPr>
          <w:rFonts w:ascii="Consolas" w:hAnsi="Consolas"/>
        </w:rPr>
        <w:t>(libro, capítulo, versículo)</w:t>
      </w:r>
      <w:r>
        <w:t xml:space="preserve"> como clave. El total de pares resultantes es 5.680, lo que equivale al 93,3% de los versículos disponibles en la versión Inga: los falsos positivos del parser OCR (números que parecen marcadores pero no son versículos canónicos) se filtran naturalmente al no encontrar coincidencia en el lado español. Sobre esa salida se aplican tres filtros de calidad: longitud mínima de cinco palabras en ambos lados, relación máxima de longitudes de cinco a uno entre versiones (descarta desalineamientos obvios) y exclusión de versículos mayoritariamente numéricos. El corpus paralelo final contiene 5.589 pares con una longitud media de 21,2 palabras en Inga y 20,7 en español, y una relación media de longitudes de 1,44. Los 27 libros del Nuevo Testamento están representados.</w:t>
      </w:r>
    </w:p>
    <w:p>
      <w:pPr>
        <w:pStyle w:val="Ttulo3"/>
      </w:pPr>
      <w:r>
        <w:rPr>
          <w:b w:val="0"/>
          <w:i w:val="0"/>
        </w:rPr>
        <w:t>4.2.4 Antihua Pacay como recurso exploratorio</w:t>
      </w:r>
    </w:p>
    <w:p>
      <w:pPr>
        <w:jc w:val="both"/>
      </w:pPr>
      <w:r>
        <w:t xml:space="preserve">La cartilla narrativa </w:t>
      </w:r>
      <w:r>
        <w:rPr>
          <w:i/>
        </w:rPr>
        <w:t>Antihua Pacay Gentecunapa Parlocuna</w:t>
      </w:r>
      <w:r>
        <w:t xml:space="preserve"> es la única fuente primaria disponible del dialecto Medio Putumayo y por tanto es estratégicamente relevante para la cobertura bidialectal del proyecto. El Notebook 06 segmenta el documento en sus dos mitades (un bloque continuo en Inga seguido por un bloque parcial en español) e intenta alinear las historias por orden de aparición. Sólo la primera de las seis historias del documento dispone de traducción al español, y la alineación oración a oración por índice presenta desfase significativo (91 oraciones en Inga frente a 102 en español). El resultado, 86 pares con calidad heterogénea, se documenta pero no se incorpora al corpus de entrenamiento de la presente iteración. La alineación correcta requiere un alineador semántico basado en embeddings multilingües, trabajo que se traslada a la Entrega Final.</w:t>
      </w:r>
    </w:p>
    <w:p>
      <w:pPr>
        <w:pStyle w:val="Ttulo3"/>
      </w:pPr>
      <w:r>
        <w:rPr>
          <w:b w:val="0"/>
          <w:i w:val="0"/>
        </w:rPr>
        <w:t>4.2.5 Particiones del corpus</w:t>
      </w:r>
    </w:p>
    <w:p>
      <w:pPr>
        <w:jc w:val="both"/>
      </w:pPr>
      <w:r>
        <w:t xml:space="preserve">El Notebook 07 unifica las salidas y produce las particiones train, val y test en proporción 80/10/10 mediante un </w:t>
      </w:r>
      <w:r>
        <w:rPr>
          <w:i/>
        </w:rPr>
        <w:t>shuffle</w:t>
      </w:r>
      <w:r>
        <w:t xml:space="preserve"> aleatorio con semilla 42. La estratificación por libro, considerada inicialmente, no es viable porque dos libros del NT (2 Juan con 5 pares y 3 Juan con 6 pares en el corpus alineado) no tienen suficientes muestras para distribuirse en tres particiones disjuntas. El </w:t>
      </w:r>
      <w:r>
        <w:rPr>
          <w:i/>
        </w:rPr>
        <w:t>shuffle</w:t>
      </w:r>
      <w:r>
        <w:t xml:space="preserve"> aleatorio cubre los 27 libros en train, 25 en val y 26 en test, con los faltantes correspondiendo a los dos libros mencionados. Las cifras absolutas son 4.471 pares de entrenamiento, 558 de validación y 560 de prueba.</w:t>
      </w:r>
    </w:p>
    <w:p>
      <w:pPr>
        <w:pStyle w:val="Descripcin"/>
        <w:jc w:val="left"/>
      </w:pPr>
      <w:r>
        <w:rPr>
          <w:b/>
        </w:rPr>
        <w:t>Figura 9</w:t>
      </w:r>
    </w:p>
    <w:p>
      <w:pPr>
        <w:jc w:val="left"/>
      </w:pPr>
      <w:r>
        <w:rPr>
          <w:i/>
        </w:rPr>
        <w:t>Distribución del corpus paralelo Inga-español por libro y partición</w:t>
      </w:r>
    </w:p>
    <w:p>
      <w:pPr>
        <w:pStyle w:val="Figuras"/>
        <w:jc w:val="center"/>
      </w:pPr>
      <w:r>
        <w:drawing>
          <wp:inline xmlns:a="http://schemas.openxmlformats.org/drawingml/2006/main" xmlns:pic="http://schemas.openxmlformats.org/drawingml/2006/picture">
            <wp:extent cx="5040000" cy="2298490"/>
            <wp:docPr id="1" name="Picture 1"/>
            <wp:cNvGraphicFramePr>
              <a:graphicFrameLocks noChangeAspect="1"/>
            </wp:cNvGraphicFramePr>
            <a:graphic>
              <a:graphicData uri="http://schemas.openxmlformats.org/drawingml/2006/picture">
                <pic:pic>
                  <pic:nvPicPr>
                    <pic:cNvPr id="0" name="fig09_distribucion_corpus.png"/>
                    <pic:cNvPicPr/>
                  </pic:nvPicPr>
                  <pic:blipFill>
                    <a:blip r:embed="rId18"/>
                    <a:stretch>
                      <a:fillRect/>
                    </a:stretch>
                  </pic:blipFill>
                  <pic:spPr>
                    <a:xfrm>
                      <a:off x="0" y="0"/>
                      <a:ext cx="5040000" cy="2298490"/>
                    </a:xfrm>
                    <a:prstGeom prst="rect"/>
                  </pic:spPr>
                </pic:pic>
              </a:graphicData>
            </a:graphic>
          </wp:inline>
        </w:drawing>
      </w:r>
    </w:p>
    <w:p>
      <w:pPr>
        <w:pStyle w:val="Piedefoto-tabla"/>
        <w:jc w:val="both"/>
      </w:pPr>
      <w:r>
        <w:rPr>
          <w:i/>
        </w:rPr>
        <w:t xml:space="preserve">Nota. </w:t>
      </w:r>
      <w:r>
        <w:t>Elaboración propia a partir del Notebook 07. Las tres particiones se generan por *shuffle* aleatorio con semilla 42 en proporción 80/10/10; la dominancia visual de Lucas, Hechos y Mateo refleja el desbalance natural del Nuevo Testamento, donde estos tres libros concentran el 41% de los versículos del canon.</w:t>
      </w:r>
    </w:p>
    <w:p>
      <w:pPr>
        <w:pStyle w:val="Descripcin"/>
        <w:jc w:val="left"/>
      </w:pPr>
      <w:r>
        <w:rPr>
          <w:b/>
        </w:rPr>
        <w:t>Tabla 6</w:t>
      </w:r>
    </w:p>
    <w:p>
      <w:pPr>
        <w:jc w:val="left"/>
      </w:pPr>
      <w:r>
        <w:rPr>
          <w:i/>
        </w:rPr>
        <w:t>Distribución del corpus paralelo train/val/test por dialecto</w:t>
      </w:r>
    </w:p>
    <w:tbl>
      <w:tblPr>
        <w:tblStyle w:val="Tablaconcuadrcula"/>
        <w:tblW w:type="auto" w:w="0"/>
        <w:jc w:val="center"/>
        <w:tblLook w:firstColumn="1" w:firstRow="1" w:lastColumn="0" w:lastRow="0" w:noHBand="0" w:noVBand="1" w:val="04A0"/>
      </w:tblPr>
      <w:tblGrid>
        <w:gridCol w:w="2268"/>
        <w:gridCol w:w="2268"/>
        <w:gridCol w:w="2268"/>
        <w:gridCol w:w="2268"/>
      </w:tblGrid>
      <w:tr>
        <w:tc>
          <w:tcPr>
            <w:tcW w:type="dxa" w:w="2268"/>
          </w:tcPr>
          <w:p>
            <w:r/>
            <w:r>
              <w:rPr>
                <w:b/>
              </w:rPr>
              <w:t>Partición</w:t>
            </w:r>
          </w:p>
        </w:tc>
        <w:tc>
          <w:tcPr>
            <w:tcW w:type="dxa" w:w="2268"/>
          </w:tcPr>
          <w:p>
            <w:r/>
            <w:r>
              <w:rPr>
                <w:b/>
              </w:rPr>
              <w:t>AP (Alto Putumayo)</w:t>
            </w:r>
          </w:p>
        </w:tc>
        <w:tc>
          <w:tcPr>
            <w:tcW w:type="dxa" w:w="2268"/>
          </w:tcPr>
          <w:p>
            <w:r/>
            <w:r>
              <w:rPr>
                <w:b/>
              </w:rPr>
              <w:t>MP (Medio Putumayo)</w:t>
            </w:r>
          </w:p>
        </w:tc>
        <w:tc>
          <w:tcPr>
            <w:tcW w:type="dxa" w:w="2268"/>
          </w:tcPr>
          <w:p>
            <w:r/>
            <w:r>
              <w:rPr>
                <w:b/>
              </w:rPr>
              <w:t>Total</w:t>
            </w:r>
          </w:p>
        </w:tc>
      </w:tr>
      <w:tr>
        <w:tc>
          <w:tcPr>
            <w:tcW w:type="dxa" w:w="2268"/>
          </w:tcPr>
          <w:p>
            <w:r>
              <w:t>Train</w:t>
            </w:r>
          </w:p>
        </w:tc>
        <w:tc>
          <w:tcPr>
            <w:tcW w:type="dxa" w:w="2268"/>
          </w:tcPr>
          <w:p>
            <w:r>
              <w:t>4.471</w:t>
            </w:r>
          </w:p>
        </w:tc>
        <w:tc>
          <w:tcPr>
            <w:tcW w:type="dxa" w:w="2268"/>
          </w:tcPr>
          <w:p>
            <w:r>
              <w:t>0</w:t>
            </w:r>
          </w:p>
        </w:tc>
        <w:tc>
          <w:tcPr>
            <w:tcW w:type="dxa" w:w="2268"/>
          </w:tcPr>
          <w:p>
            <w:r>
              <w:t>4.471</w:t>
            </w:r>
          </w:p>
        </w:tc>
      </w:tr>
      <w:tr>
        <w:tc>
          <w:tcPr>
            <w:tcW w:type="dxa" w:w="2268"/>
          </w:tcPr>
          <w:p>
            <w:r>
              <w:t>Val</w:t>
            </w:r>
          </w:p>
        </w:tc>
        <w:tc>
          <w:tcPr>
            <w:tcW w:type="dxa" w:w="2268"/>
          </w:tcPr>
          <w:p>
            <w:r>
              <w:t>558</w:t>
            </w:r>
          </w:p>
        </w:tc>
        <w:tc>
          <w:tcPr>
            <w:tcW w:type="dxa" w:w="2268"/>
          </w:tcPr>
          <w:p>
            <w:r>
              <w:t>0</w:t>
            </w:r>
          </w:p>
        </w:tc>
        <w:tc>
          <w:tcPr>
            <w:tcW w:type="dxa" w:w="2268"/>
          </w:tcPr>
          <w:p>
            <w:r>
              <w:t>558</w:t>
            </w:r>
          </w:p>
        </w:tc>
      </w:tr>
      <w:tr>
        <w:tc>
          <w:tcPr>
            <w:tcW w:type="dxa" w:w="2268"/>
          </w:tcPr>
          <w:p>
            <w:r>
              <w:t>Test</w:t>
            </w:r>
          </w:p>
        </w:tc>
        <w:tc>
          <w:tcPr>
            <w:tcW w:type="dxa" w:w="2268"/>
          </w:tcPr>
          <w:p>
            <w:r>
              <w:t>560</w:t>
            </w:r>
          </w:p>
        </w:tc>
        <w:tc>
          <w:tcPr>
            <w:tcW w:type="dxa" w:w="2268"/>
          </w:tcPr>
          <w:p>
            <w:r>
              <w:t>0</w:t>
            </w:r>
          </w:p>
        </w:tc>
        <w:tc>
          <w:tcPr>
            <w:tcW w:type="dxa" w:w="2268"/>
          </w:tcPr>
          <w:p>
            <w:r>
              <w:t>560</w:t>
            </w:r>
          </w:p>
        </w:tc>
      </w:tr>
      <w:tr>
        <w:tc>
          <w:tcPr>
            <w:tcW w:type="dxa" w:w="2268"/>
          </w:tcPr>
          <w:p>
            <w:r>
              <w:t>**Total**</w:t>
            </w:r>
          </w:p>
        </w:tc>
        <w:tc>
          <w:tcPr>
            <w:tcW w:type="dxa" w:w="2268"/>
          </w:tcPr>
          <w:p>
            <w:r>
              <w:t>**5.589**</w:t>
            </w:r>
          </w:p>
        </w:tc>
        <w:tc>
          <w:tcPr>
            <w:tcW w:type="dxa" w:w="2268"/>
          </w:tcPr>
          <w:p>
            <w:r>
              <w:t>**0**</w:t>
            </w:r>
          </w:p>
        </w:tc>
        <w:tc>
          <w:tcPr>
            <w:tcW w:type="dxa" w:w="2268"/>
          </w:tcPr>
          <w:p>
            <w:r>
              <w:t>**5.589**</w:t>
            </w:r>
          </w:p>
        </w:tc>
      </w:tr>
    </w:tbl>
    <w:p>
      <w:pPr>
        <w:pStyle w:val="Piedefoto-tabla"/>
        <w:jc w:val="both"/>
      </w:pPr>
      <w:r>
        <w:rPr>
          <w:i/>
        </w:rPr>
        <w:t xml:space="preserve">Nota. </w:t>
      </w:r>
      <w:r>
        <w:t>Elaboración propia. La columna MP queda en cero porque la alineación de *Antihua Pacay* se posterga a la Entrega Final como se explica en la sección 4.2.4.</w:t>
      </w:r>
    </w:p>
    <w:p>
      <w:pPr>
        <w:pStyle w:val="Ttulo2"/>
      </w:pPr>
      <w:r>
        <w:rPr>
          <w:b w:val="0"/>
          <w:i w:val="0"/>
        </w:rPr>
        <w:t>4.3 Base de conocimiento e indexación vectorial</w:t>
      </w:r>
    </w:p>
    <w:p>
      <w:pPr>
        <w:jc w:val="both"/>
      </w:pPr>
      <w:r>
        <w:t xml:space="preserve">El sistema de recuperación aumentada del eje LLM se sustenta en tres índices vectoriales independientes alojados en LanceDB. La elección de LanceDB como motor de almacenamiento se debe a tres consideraciones: es una base de datos vectorial </w:t>
      </w:r>
      <w:r>
        <w:rPr>
          <w:i/>
        </w:rPr>
        <w:t>embedded</w:t>
      </w:r>
      <w:r>
        <w:t xml:space="preserve">, sin servicio externo ni clave de API, lo que mantiene la reproducibilidad y elimina costos recurrentes; usa un formato columnar inspeccionable directamente con herramientas de análisis de datos; y maneja sin sobrecarga el volumen estimado del proyecto, del orden de diez mil vectores. Los embeddings se calculan con </w:t>
      </w:r>
      <w:r>
        <w:rPr>
          <w:rFonts w:ascii="Consolas" w:hAnsi="Consolas"/>
        </w:rPr>
        <w:t>gemini-embedding-001</w:t>
      </w:r>
      <w:r>
        <w:t xml:space="preserve">, configurado con </w:t>
      </w:r>
      <w:r>
        <w:rPr>
          <w:rFonts w:ascii="Consolas" w:hAnsi="Consolas"/>
        </w:rPr>
        <w:t>output_dimensionality=768</w:t>
      </w:r>
      <w:r>
        <w:t xml:space="preserve"> para reducir el espacio de almacenamiento sin pérdida material de calidad, e implementan reintento exponencial con throttling de 1,2 segundos entre lotes de 50 textos para respetar el límite de 3.000 peticiones por minuto del </w:t>
      </w:r>
      <w:r>
        <w:rPr>
          <w:i/>
        </w:rPr>
        <w:t>tier</w:t>
      </w:r>
      <w:r>
        <w:t xml:space="preserve"> de pago de la API.</w:t>
      </w:r>
    </w:p>
    <w:p>
      <w:pPr>
        <w:jc w:val="both"/>
      </w:pPr>
      <w:r>
        <w:t xml:space="preserve">El </w:t>
      </w:r>
      <w:r>
        <w:rPr>
          <w:b/>
        </w:rPr>
        <w:t>índice léxico</w:t>
      </w:r>
      <w:r>
        <w:t xml:space="preserve"> se construye en el Notebook 08 a partir del </w:t>
      </w:r>
      <w:r>
        <w:rPr>
          <w:i/>
        </w:rPr>
        <w:t>Diccionario Inga</w:t>
      </w:r>
      <w:r>
        <w:t xml:space="preserve">. La extracción original del proyecto recuperaba sólo el lema y la categoría gramatical de cada entrada, perdiendo la glosa en español. El parser del presente trabajo recupera las definiciones completas, incluyendo marcadores dialectales y referencias cruzadas, y produce 4.900 entradas estructuradas. Cada entrada se indexa con la composición </w:t>
      </w:r>
      <w:r>
        <w:rPr>
          <w:rFonts w:ascii="Consolas" w:hAnsi="Consolas"/>
        </w:rPr>
        <w:t>lema (categoría): glosa</w:t>
      </w:r>
      <w:r>
        <w:t xml:space="preserve"> para que el embedding capture simultáneamente la palabra Inga y su semántica castellana.</w:t>
      </w:r>
    </w:p>
    <w:p>
      <w:pPr>
        <w:jc w:val="both"/>
      </w:pPr>
      <w:r>
        <w:t xml:space="preserve">El </w:t>
      </w:r>
      <w:r>
        <w:rPr>
          <w:b/>
        </w:rPr>
        <w:t>índice gramatical</w:t>
      </w:r>
      <w:r>
        <w:t xml:space="preserve"> se construye a partir de la </w:t>
      </w:r>
      <w:r>
        <w:rPr>
          <w:i/>
        </w:rPr>
        <w:t>Gramática Pedagógica del Inga</w:t>
      </w:r>
      <w:r>
        <w:t xml:space="preserve"> de Levinsohn y del apéndice morfosintáctico Rosetta, segmentando los documentos en bloques de párrafo con al menos treinta palabras y descartando líneas residuales del OCR (numeración de páginas, encabezados sueltos). El resultado son 560 chunks de la gramática y 45 del apéndice, un total de 605 unidades de conocimiento gramatical.</w:t>
      </w:r>
    </w:p>
    <w:p>
      <w:pPr>
        <w:jc w:val="both"/>
      </w:pPr>
      <w:r>
        <w:t xml:space="preserve">El </w:t>
      </w:r>
      <w:r>
        <w:rPr>
          <w:b/>
        </w:rPr>
        <w:t>índice de ejemplos</w:t>
      </w:r>
      <w:r>
        <w:t xml:space="preserve"> indexa los 4.471 pares del </w:t>
      </w:r>
      <w:r>
        <w:rPr>
          <w:i/>
        </w:rPr>
        <w:t>split</w:t>
      </w:r>
      <w:r>
        <w:t xml:space="preserve"> de entrenamiento por el texto Inga, devolviendo en la consulta también la traducción al español para inyectarla como ejemplo </w:t>
      </w:r>
      <w:r>
        <w:rPr>
          <w:i/>
        </w:rPr>
        <w:t>few-shot</w:t>
      </w:r>
      <w:r>
        <w:t xml:space="preserve"> en el prompt del modelo de lenguaje de frontera. Para soportar la traducción en dirección inversa, español a Inga, se construye adicionalmente un cuarto índice (</w:t>
      </w:r>
      <w:r>
        <w:rPr>
          <w:rFonts w:ascii="Consolas" w:hAnsi="Consolas"/>
        </w:rPr>
        <w:t>ejemplos_es</w:t>
      </w:r>
      <w:r>
        <w:t xml:space="preserve">) con los mismos pares pero indexados por el texto español. Esta duplicación es necesaria porque la similitud vectorial se calcula sobre el texto de la </w:t>
      </w:r>
      <w:r>
        <w:rPr>
          <w:i/>
        </w:rPr>
        <w:t>query</w:t>
      </w:r>
      <w:r>
        <w:t>, que debe estar en la lengua de origen.</w:t>
      </w:r>
    </w:p>
    <w:p>
      <w:pPr>
        <w:pStyle w:val="Descripcin"/>
        <w:jc w:val="left"/>
      </w:pPr>
      <w:r>
        <w:rPr>
          <w:b/>
        </w:rPr>
        <w:t>Figura 10</w:t>
      </w:r>
    </w:p>
    <w:p>
      <w:pPr>
        <w:jc w:val="left"/>
      </w:pPr>
      <w:r>
        <w:rPr>
          <w:i/>
        </w:rPr>
        <w:t>Arquitectura del sistema RAG implementado</w:t>
      </w:r>
    </w:p>
    <w:p>
      <w:pPr>
        <w:pStyle w:val="Figuras"/>
        <w:jc w:val="center"/>
      </w:pPr>
      <w:r>
        <w:drawing>
          <wp:inline xmlns:a="http://schemas.openxmlformats.org/drawingml/2006/main" xmlns:pic="http://schemas.openxmlformats.org/drawingml/2006/picture">
            <wp:extent cx="5040000" cy="2930461"/>
            <wp:docPr id="2" name="Picture 2"/>
            <wp:cNvGraphicFramePr>
              <a:graphicFrameLocks noChangeAspect="1"/>
            </wp:cNvGraphicFramePr>
            <a:graphic>
              <a:graphicData uri="http://schemas.openxmlformats.org/drawingml/2006/picture">
                <pic:pic>
                  <pic:nvPicPr>
                    <pic:cNvPr id="0" name="fig10_arquitectura_rag.png"/>
                    <pic:cNvPicPr/>
                  </pic:nvPicPr>
                  <pic:blipFill>
                    <a:blip r:embed="rId19"/>
                    <a:stretch>
                      <a:fillRect/>
                    </a:stretch>
                  </pic:blipFill>
                  <pic:spPr>
                    <a:xfrm>
                      <a:off x="0" y="0"/>
                      <a:ext cx="5040000" cy="2930461"/>
                    </a:xfrm>
                    <a:prstGeom prst="rect"/>
                  </pic:spPr>
                </pic:pic>
              </a:graphicData>
            </a:graphic>
          </wp:inline>
        </w:drawing>
      </w:r>
    </w:p>
    <w:p>
      <w:pPr>
        <w:pStyle w:val="Piedefoto-tabla"/>
        <w:jc w:val="both"/>
      </w:pPr>
      <w:r>
        <w:rPr>
          <w:i/>
        </w:rPr>
        <w:t xml:space="preserve">Nota. </w:t>
      </w:r>
      <w:r>
        <w:t>Elaboración propia. El retriever consulta los tres índices en paralelo y devuelve top-k de cada uno. Para la dirección inversa, el índice de ejemplos se conmuta dinámicamente a `ejemplos_es`.</w:t>
      </w:r>
    </w:p>
    <w:p>
      <w:pPr>
        <w:jc w:val="both"/>
      </w:pPr>
      <w:r>
        <w:t xml:space="preserve">La validación cualitativa del retriever se ejecuta sobre tres queries representativas. La palabra </w:t>
      </w:r>
      <w:r>
        <w:rPr>
          <w:rFonts w:ascii="Consolas" w:hAnsi="Consolas"/>
        </w:rPr>
        <w:t>wasi</w:t>
      </w:r>
      <w:r>
        <w:t xml:space="preserve"> (casa) recupera del índice léxico las entradas </w:t>
      </w:r>
      <w:r>
        <w:rPr>
          <w:rFonts w:ascii="Consolas" w:hAnsi="Consolas"/>
        </w:rPr>
        <w:t>casa (s): wasi</w:t>
      </w:r>
      <w:r>
        <w:t xml:space="preserve"> y </w:t>
      </w:r>
      <w:r>
        <w:rPr>
          <w:rFonts w:ascii="Consolas" w:hAnsi="Consolas"/>
        </w:rPr>
        <w:t>wasi (s): casa</w:t>
      </w:r>
      <w:r>
        <w:t xml:space="preserve">; del índice gramatical, bloques que explican el uso de </w:t>
      </w:r>
      <w:r>
        <w:rPr>
          <w:rFonts w:ascii="Consolas" w:hAnsi="Consolas"/>
        </w:rPr>
        <w:t>huasi</w:t>
      </w:r>
      <w:r>
        <w:t xml:space="preserve"> con sufijos de caso (</w:t>
      </w:r>
      <w:r>
        <w:rPr>
          <w:rFonts w:ascii="Consolas" w:hAnsi="Consolas"/>
        </w:rPr>
        <w:t>huasi cancha</w:t>
      </w:r>
      <w:r>
        <w:t xml:space="preserve">, </w:t>
      </w:r>
      <w:r>
        <w:rPr>
          <w:rFonts w:ascii="Consolas" w:hAnsi="Consolas"/>
        </w:rPr>
        <w:t>huasi ucu</w:t>
      </w:r>
      <w:r>
        <w:t xml:space="preserve">); del índice de ejemplos, tres versículos del NT donde aparece la palabra. La consulta </w:t>
      </w:r>
      <w:r>
        <w:rPr>
          <w:rFonts w:ascii="Consolas" w:hAnsi="Consolas"/>
        </w:rPr>
        <w:t>imasa parlangapa</w:t>
      </w:r>
      <w:r>
        <w:t xml:space="preserve"> (cómo decir) recupera las entradas léxicas </w:t>
      </w:r>
      <w:r>
        <w:rPr>
          <w:rFonts w:ascii="Consolas" w:hAnsi="Consolas"/>
        </w:rPr>
        <w:t>imasa</w:t>
      </w:r>
      <w:r>
        <w:t xml:space="preserve"> y </w:t>
      </w:r>
      <w:r>
        <w:rPr>
          <w:rFonts w:ascii="Consolas" w:hAnsi="Consolas"/>
        </w:rPr>
        <w:t>idioma</w:t>
      </w:r>
      <w:r>
        <w:t xml:space="preserve"> junto con tres bloques de la gramática que explican el uso de </w:t>
      </w:r>
      <w:r>
        <w:rPr>
          <w:rFonts w:ascii="Consolas" w:hAnsi="Consolas"/>
        </w:rPr>
        <w:t>imasa</w:t>
      </w:r>
      <w:r>
        <w:t xml:space="preserve"> como marcador comparativo, además de versículos que ilustran su uso. Una oración completa, </w:t>
      </w:r>
      <w:r>
        <w:rPr>
          <w:rFonts w:ascii="Consolas" w:hAnsi="Consolas"/>
        </w:rPr>
        <w:t>Taita Diuska runakunata kuianmi</w:t>
      </w:r>
      <w:r>
        <w:t xml:space="preserve">, recupera entradas léxicas tangenciales (la palabra </w:t>
      </w:r>
      <w:r>
        <w:rPr>
          <w:rFonts w:ascii="Consolas" w:hAnsi="Consolas"/>
        </w:rPr>
        <w:t>taita</w:t>
      </w:r>
      <w:r>
        <w:t xml:space="preserve"> y compuestos relacionados) pero sí encuentra ejemplos paralelos semánticamente cercanos sobre el amor de Dios en las epístolas. Esta asimetría es esperable: la similitud semántica entre una oración completa y una entrada de diccionario es necesariamente baja, y la utilidad real del índice léxico se manifiesta en las traducciones de palabras sueltas.</w:t>
      </w:r>
    </w:p>
    <w:p>
      <w:pPr>
        <w:pStyle w:val="Ttulo2"/>
      </w:pPr>
      <w:r>
        <w:rPr>
          <w:b w:val="0"/>
          <w:i w:val="0"/>
        </w:rPr>
        <w:t>4.4 Adaptación de NLLB-200 mediante LoRA bidireccional</w:t>
      </w:r>
    </w:p>
    <w:p>
      <w:pPr>
        <w:jc w:val="both"/>
      </w:pPr>
      <w:r>
        <w:rPr>
          <w:b/>
        </w:rPr>
        <w:t>Contribución de William Santos.</w:t>
      </w:r>
    </w:p>
    <w:p>
      <w:pPr>
        <w:jc w:val="both"/>
      </w:pPr>
      <w:r>
        <w:t xml:space="preserve">Esta sección documenta el fine-tuning del modelo NLLB-200-distilled-600M mediante adaptadores de bajo rango (LoRA) aplicados sobre las proyecciones de consulta y valor de las capas de atención del transformador. El entrenamiento se ejecuta en una sola corrida sobre el corpus duplicado en ambas direcciones (Inga a español y español a Inga), de modo que un único adaptador sirve para inferir en cualquiera de los dos sentidos según los códigos </w:t>
      </w:r>
      <w:r>
        <w:rPr>
          <w:rFonts w:ascii="Consolas" w:hAnsi="Consolas"/>
        </w:rPr>
        <w:t>src_lang</w:t>
      </w:r>
      <w:r>
        <w:t xml:space="preserve"> y </w:t>
      </w:r>
      <w:r>
        <w:rPr>
          <w:rFonts w:ascii="Consolas" w:hAnsi="Consolas"/>
        </w:rPr>
        <w:t>tgt_lang</w:t>
      </w:r>
      <w:r>
        <w:t xml:space="preserve"> que se le pasen al tokenizador en inferencia.</w:t>
      </w:r>
    </w:p>
    <w:p>
      <w:pPr>
        <w:pStyle w:val="Descripcin"/>
        <w:jc w:val="left"/>
      </w:pPr>
      <w:r>
        <w:rPr>
          <w:b/>
        </w:rPr>
        <w:t>Tabla 7</w:t>
      </w:r>
    </w:p>
    <w:p>
      <w:pPr>
        <w:jc w:val="left"/>
      </w:pPr>
      <w:r>
        <w:rPr>
          <w:i/>
        </w:rPr>
        <w:t>Hiperparámetros del entrenamiento LoRA</w:t>
      </w:r>
    </w:p>
    <w:tbl>
      <w:tblPr>
        <w:tblStyle w:val="Tablaconcuadrcula"/>
        <w:tblW w:type="auto" w:w="0"/>
        <w:jc w:val="center"/>
        <w:tblLook w:firstColumn="1" w:firstRow="1" w:lastColumn="0" w:lastRow="0" w:noHBand="0" w:noVBand="1" w:val="04A0"/>
      </w:tblPr>
      <w:tblGrid>
        <w:gridCol w:w="4535"/>
        <w:gridCol w:w="4535"/>
      </w:tblGrid>
      <w:tr>
        <w:tc>
          <w:tcPr>
            <w:tcW w:type="dxa" w:w="4535"/>
          </w:tcPr>
          <w:p>
            <w:r/>
            <w:r>
              <w:rPr>
                <w:b/>
              </w:rPr>
              <w:t>Hiperparámetro</w:t>
            </w:r>
          </w:p>
        </w:tc>
        <w:tc>
          <w:tcPr>
            <w:tcW w:type="dxa" w:w="4535"/>
          </w:tcPr>
          <w:p>
            <w:r/>
            <w:r>
              <w:rPr>
                <w:b/>
              </w:rPr>
              <w:t>Valor</w:t>
            </w:r>
          </w:p>
        </w:tc>
      </w:tr>
      <w:tr>
        <w:tc>
          <w:tcPr>
            <w:tcW w:type="dxa" w:w="4535"/>
          </w:tcPr>
          <w:p>
            <w:r>
              <w:t>Modelo base</w:t>
            </w:r>
          </w:p>
        </w:tc>
        <w:tc>
          <w:tcPr>
            <w:tcW w:type="dxa" w:w="4535"/>
          </w:tcPr>
          <w:p>
            <w:r>
              <w:t>`facebook/nllb-200-distilled-600M`</w:t>
            </w:r>
          </w:p>
        </w:tc>
      </w:tr>
      <w:tr>
        <w:tc>
          <w:tcPr>
            <w:tcW w:type="dxa" w:w="4535"/>
          </w:tcPr>
          <w:p>
            <w:r>
              <w:t>Código fuente Inga</w:t>
            </w:r>
          </w:p>
        </w:tc>
        <w:tc>
          <w:tcPr>
            <w:tcW w:type="dxa" w:w="4535"/>
          </w:tcPr>
          <w:p>
            <w:r>
              <w:t>`quy_Latn` (Quechua Ayacucho como transferencia)</w:t>
            </w:r>
          </w:p>
        </w:tc>
      </w:tr>
      <w:tr>
        <w:tc>
          <w:tcPr>
            <w:tcW w:type="dxa" w:w="4535"/>
          </w:tcPr>
          <w:p>
            <w:r>
              <w:t>Código destino español</w:t>
            </w:r>
          </w:p>
        </w:tc>
        <w:tc>
          <w:tcPr>
            <w:tcW w:type="dxa" w:w="4535"/>
          </w:tcPr>
          <w:p>
            <w:r>
              <w:t>`spa_Latn`</w:t>
            </w:r>
          </w:p>
        </w:tc>
      </w:tr>
      <w:tr>
        <w:tc>
          <w:tcPr>
            <w:tcW w:type="dxa" w:w="4535"/>
          </w:tcPr>
          <w:p>
            <w:r>
              <w:t>Rango LoRA (r)</w:t>
            </w:r>
          </w:p>
        </w:tc>
        <w:tc>
          <w:tcPr>
            <w:tcW w:type="dxa" w:w="4535"/>
          </w:tcPr>
          <w:p>
            <w:r>
              <w:t>16</w:t>
            </w:r>
          </w:p>
        </w:tc>
      </w:tr>
      <w:tr>
        <w:tc>
          <w:tcPr>
            <w:tcW w:type="dxa" w:w="4535"/>
          </w:tcPr>
          <w:p>
            <w:r>
              <w:t>Factor de escala (alpha)</w:t>
            </w:r>
          </w:p>
        </w:tc>
        <w:tc>
          <w:tcPr>
            <w:tcW w:type="dxa" w:w="4535"/>
          </w:tcPr>
          <w:p>
            <w:r>
              <w:t>32</w:t>
            </w:r>
          </w:p>
        </w:tc>
      </w:tr>
      <w:tr>
        <w:tc>
          <w:tcPr>
            <w:tcW w:type="dxa" w:w="4535"/>
          </w:tcPr>
          <w:p>
            <w:r>
              <w:t>Dropout LoRA</w:t>
            </w:r>
          </w:p>
        </w:tc>
        <w:tc>
          <w:tcPr>
            <w:tcW w:type="dxa" w:w="4535"/>
          </w:tcPr>
          <w:p>
            <w:r>
              <w:t>0,1</w:t>
            </w:r>
          </w:p>
        </w:tc>
      </w:tr>
      <w:tr>
        <w:tc>
          <w:tcPr>
            <w:tcW w:type="dxa" w:w="4535"/>
          </w:tcPr>
          <w:p>
            <w:r>
              <w:t>Módulos objetivo</w:t>
            </w:r>
          </w:p>
        </w:tc>
        <w:tc>
          <w:tcPr>
            <w:tcW w:type="dxa" w:w="4535"/>
          </w:tcPr>
          <w:p>
            <w:r>
              <w:t>`q_proj`, `v_proj`</w:t>
            </w:r>
          </w:p>
        </w:tc>
      </w:tr>
      <w:tr>
        <w:tc>
          <w:tcPr>
            <w:tcW w:type="dxa" w:w="4535"/>
          </w:tcPr>
          <w:p>
            <w:r>
              <w:t>Optimizador</w:t>
            </w:r>
          </w:p>
        </w:tc>
        <w:tc>
          <w:tcPr>
            <w:tcW w:type="dxa" w:w="4535"/>
          </w:tcPr>
          <w:p>
            <w:r>
              <w:t>AdamW</w:t>
            </w:r>
          </w:p>
        </w:tc>
      </w:tr>
      <w:tr>
        <w:tc>
          <w:tcPr>
            <w:tcW w:type="dxa" w:w="4535"/>
          </w:tcPr>
          <w:p>
            <w:r>
              <w:t>Tasa de aprendizaje</w:t>
            </w:r>
          </w:p>
        </w:tc>
        <w:tc>
          <w:tcPr>
            <w:tcW w:type="dxa" w:w="4535"/>
          </w:tcPr>
          <w:p>
            <w:r>
              <w:t>3e-4</w:t>
            </w:r>
          </w:p>
        </w:tc>
      </w:tr>
      <w:tr>
        <w:tc>
          <w:tcPr>
            <w:tcW w:type="dxa" w:w="4535"/>
          </w:tcPr>
          <w:p>
            <w:r>
              <w:t>Warmup steps</w:t>
            </w:r>
          </w:p>
        </w:tc>
        <w:tc>
          <w:tcPr>
            <w:tcW w:type="dxa" w:w="4535"/>
          </w:tcPr>
          <w:p>
            <w:r>
              <w:t>100</w:t>
            </w:r>
          </w:p>
        </w:tc>
      </w:tr>
      <w:tr>
        <w:tc>
          <w:tcPr>
            <w:tcW w:type="dxa" w:w="4535"/>
          </w:tcPr>
          <w:p>
            <w:r>
              <w:t>Epochs</w:t>
            </w:r>
          </w:p>
        </w:tc>
        <w:tc>
          <w:tcPr>
            <w:tcW w:type="dxa" w:w="4535"/>
          </w:tcPr>
          <w:p>
            <w:r>
              <w:t>3</w:t>
            </w:r>
          </w:p>
        </w:tc>
      </w:tr>
      <w:tr>
        <w:tc>
          <w:tcPr>
            <w:tcW w:type="dxa" w:w="4535"/>
          </w:tcPr>
          <w:p>
            <w:r>
              <w:t>Batch size por dispositivo</w:t>
            </w:r>
          </w:p>
        </w:tc>
        <w:tc>
          <w:tcPr>
            <w:tcW w:type="dxa" w:w="4535"/>
          </w:tcPr>
          <w:p>
            <w:r>
              <w:t>8</w:t>
            </w:r>
          </w:p>
        </w:tc>
      </w:tr>
      <w:tr>
        <w:tc>
          <w:tcPr>
            <w:tcW w:type="dxa" w:w="4535"/>
          </w:tcPr>
          <w:p>
            <w:r>
              <w:t>Longitud máxima de secuencia</w:t>
            </w:r>
          </w:p>
        </w:tc>
        <w:tc>
          <w:tcPr>
            <w:tcW w:type="dxa" w:w="4535"/>
          </w:tcPr>
          <w:p>
            <w:r>
              <w:t>128 tokens</w:t>
            </w:r>
          </w:p>
        </w:tc>
      </w:tr>
      <w:tr>
        <w:tc>
          <w:tcPr>
            <w:tcW w:type="dxa" w:w="4535"/>
          </w:tcPr>
          <w:p>
            <w:r>
              <w:t>Dispositivo</w:t>
            </w:r>
          </w:p>
        </w:tc>
        <w:tc>
          <w:tcPr>
            <w:tcW w:type="dxa" w:w="4535"/>
          </w:tcPr>
          <w:p>
            <w:r>
              <w:t>Apple M4 Max + MPS</w:t>
            </w:r>
          </w:p>
        </w:tc>
      </w:tr>
    </w:tbl>
    <w:p>
      <w:pPr>
        <w:pStyle w:val="Piedefoto-tabla"/>
        <w:jc w:val="both"/>
      </w:pPr>
      <w:r>
        <w:rPr>
          <w:i/>
        </w:rPr>
        <w:t xml:space="preserve">Nota. </w:t>
      </w:r>
      <w:r>
        <w:t>Elaboración propia. El corpus de entrenamiento se duplica de 4.471 a 8.942 ejemplos para cubrir ambas direcciones.</w:t>
      </w:r>
    </w:p>
    <w:p>
      <w:pPr>
        <w:jc w:val="both"/>
      </w:pPr>
      <w:r>
        <w:t>[PLACEHOLDER 4.4 - llenar al terminar entrenamiento: parámetros entrenables efectivos, curva de loss, observaciones del entrenamiento, smoke test cualitativo]</w:t>
      </w:r>
    </w:p>
    <w:p>
      <w:pPr>
        <w:pStyle w:val="Descripcin"/>
        <w:jc w:val="left"/>
      </w:pPr>
      <w:r>
        <w:rPr>
          <w:b/>
        </w:rPr>
        <w:t>Figura 11</w:t>
      </w:r>
    </w:p>
    <w:p>
      <w:pPr>
        <w:jc w:val="left"/>
      </w:pPr>
      <w:r>
        <w:rPr>
          <w:i/>
        </w:rPr>
        <w:t>Curva de loss del entrenamiento LoRA bidireccional</w:t>
      </w:r>
    </w:p>
    <w:p>
      <w:pPr/>
      <w:r>
        <w:rPr>
          <w:b w:val="0"/>
          <w:i/>
        </w:rPr>
        <w:t>[FIGURA NO ENCONTRADA: fig11_lora_loss.png]</w:t>
      </w:r>
    </w:p>
    <w:p>
      <w:pPr>
        <w:pStyle w:val="Piedefoto-tabla"/>
        <w:jc w:val="both"/>
      </w:pPr>
      <w:r>
        <w:rPr>
          <w:i/>
        </w:rPr>
        <w:t xml:space="preserve">Nota. </w:t>
      </w:r>
      <w:r>
        <w:t>Elaboración propia a partir del Notebook 09.</w:t>
      </w:r>
    </w:p>
    <w:p>
      <w:pPr>
        <w:pStyle w:val="Ttulo2"/>
      </w:pPr>
      <w:r>
        <w:rPr>
          <w:b w:val="0"/>
          <w:i w:val="0"/>
        </w:rPr>
        <w:t>4.5 Pipeline LLM + RAG con Claude</w:t>
      </w:r>
    </w:p>
    <w:p>
      <w:pPr>
        <w:jc w:val="both"/>
      </w:pPr>
      <w:r>
        <w:rPr>
          <w:b/>
        </w:rPr>
        <w:t>Contribución de Daniel Eslava.</w:t>
      </w:r>
    </w:p>
    <w:p>
      <w:pPr>
        <w:jc w:val="both"/>
      </w:pPr>
      <w:r>
        <w:t xml:space="preserve">El segundo eje experimental consiste en un pipeline de traducción basado en el modelo de lenguaje de frontera Claude Sonnet 4.6 de Anthropic, enriquecido con el contexto recuperado del sistema RAG descrito en la sección 4.3. El diseño del prompt es estructurado y específico por dirección de traducción. Para Inga a español se utiliza un </w:t>
      </w:r>
      <w:r>
        <w:rPr>
          <w:i/>
        </w:rPr>
        <w:t>system prompt</w:t>
      </w:r>
      <w:r>
        <w:t xml:space="preserve"> que sitúa al modelo como traductor especializado en una variante quechua del Putumayo y le pide responder únicamente con la traducción al español, sin explicaciones. Para español a Inga, el </w:t>
      </w:r>
      <w:r>
        <w:rPr>
          <w:i/>
        </w:rPr>
        <w:t>system prompt</w:t>
      </w:r>
      <w:r>
        <w:t xml:space="preserve"> enfatiza adicionalmente que el modelo debe priorizar el vocabulario y los patrones gramaticales suministrados por el RAG, dado que Claude tiene mucho menos conocimiento previo del Inga que del español.</w:t>
      </w:r>
    </w:p>
    <w:p>
      <w:pPr>
        <w:jc w:val="both"/>
      </w:pPr>
      <w:r>
        <w:t xml:space="preserve">El cuerpo del prompt sigue un patrón consistente. Primero se inyecta el vocabulario relevante (las cinco entradas léxicas más cercanas semánticamente a la oración a traducir), formateadas como </w:t>
      </w:r>
      <w:r>
        <w:rPr>
          <w:rFonts w:ascii="Consolas" w:hAnsi="Consolas"/>
        </w:rPr>
        <w:t>lema (categoría): glosa</w:t>
      </w:r>
      <w:r>
        <w:t xml:space="preserve">. Luego se incluyen hasta tres bloques de notas gramaticales del índice correspondiente, truncados a 400 caracteres cada uno para no saturar el contexto. A continuación se entregan cinco ejemplos paralelos similares, presentados con el formato </w:t>
      </w:r>
      <w:r>
        <w:rPr>
          <w:rFonts w:ascii="Consolas" w:hAnsi="Consolas"/>
        </w:rPr>
        <w:t>INGA: ... / ESPAÑOL: ...</w:t>
      </w:r>
      <w:r>
        <w:t xml:space="preserve"> o invertido según la dirección de traducción. Finalmente se cierra con la instrucción explícita de la tarea y la oración a traducir.</w:t>
      </w:r>
    </w:p>
    <w:p>
      <w:pPr>
        <w:jc w:val="both"/>
      </w:pPr>
      <w:r>
        <w:t>[PLACEHOLDER 4.5 - llenar al terminar evaluacion: observaciones del prompt en accion, ejemplos cualitativos]</w:t>
      </w:r>
    </w:p>
    <w:p>
      <w:pPr>
        <w:pStyle w:val="Ttulo2"/>
      </w:pPr>
      <w:r>
        <w:rPr>
          <w:b w:val="0"/>
          <w:i w:val="0"/>
        </w:rPr>
        <w:t>4.6 Evaluación comparativa preliminar</w:t>
      </w:r>
    </w:p>
    <w:p>
      <w:pPr>
        <w:jc w:val="both"/>
      </w:pPr>
      <w:r>
        <w:t xml:space="preserve">La evaluación comparativa de la Fase 6 se ejecuta sobre 100 ejemplos del </w:t>
      </w:r>
      <w:r>
        <w:rPr>
          <w:i/>
        </w:rPr>
        <w:t>split</w:t>
      </w:r>
      <w:r>
        <w:t xml:space="preserve"> de validación, escogidos con semilla 42 para garantizar reproducibilidad. La cantidad acotada responde a dos limitaciones operativas: el coste de las llamadas a la API de Anthropic, que se cuantifica explícitamente en el resumen de costos del proyecto, y el tiempo de evaluación local del modelo NLLB con generación por </w:t>
      </w:r>
      <w:r>
        <w:rPr>
          <w:i/>
        </w:rPr>
        <w:t>beam search</w:t>
      </w:r>
      <w:r>
        <w:t xml:space="preserve"> de cuatro caminos. Los 558 ejemplos del </w:t>
      </w:r>
      <w:r>
        <w:rPr>
          <w:i/>
        </w:rPr>
        <w:t>val set</w:t>
      </w:r>
      <w:r>
        <w:t xml:space="preserve"> completo se reservan para la Entrega Final, donde también se incorporará la validación humana con hablantes nativos.</w:t>
      </w:r>
    </w:p>
    <w:p>
      <w:pPr>
        <w:jc w:val="both"/>
      </w:pPr>
      <w:r>
        <w:t xml:space="preserve">Las cinco configuraciones de la Tabla 4 del Capítulo 3 se evalúan en las dos direcciones de traducción, totalizando diez corridas. Las métricas utilizadas son BLEU (sacrebleu), chrF++ (sacrebleu con </w:t>
      </w:r>
      <w:r>
        <w:rPr>
          <w:rFonts w:ascii="Consolas" w:hAnsi="Consolas"/>
        </w:rPr>
        <w:t>word_order=2</w:t>
      </w:r>
      <w:r>
        <w:t>) y BERTScore con modelo XLM-RoBERTa multilingüe, configuradas de forma idéntica a las recomendaciones recientes de AmericasNLP (Ebrahimi et al., 2024; de Gibert et al., 2025).</w:t>
      </w:r>
    </w:p>
    <w:p>
      <w:pPr>
        <w:jc w:val="both"/>
      </w:pPr>
      <w:r>
        <w:t>[PLACEHOLDER 4.6 - Tabla 8 con metricas + figura 12 + analisis comparativo de hallazgos: cual config gana por metrica, observaciones sobre direccion vs metrica, casos de fallo, etc.]</w:t>
      </w:r>
    </w:p>
    <w:p>
      <w:pPr>
        <w:pStyle w:val="Descripcin"/>
        <w:jc w:val="left"/>
      </w:pPr>
      <w:r>
        <w:rPr>
          <w:b/>
        </w:rPr>
        <w:t>Tabla 8</w:t>
      </w:r>
    </w:p>
    <w:p>
      <w:pPr>
        <w:jc w:val="left"/>
      </w:pPr>
      <w:r>
        <w:rPr>
          <w:i/>
        </w:rPr>
        <w:t>Métricas comparativas por configuración y dirección sobre 100 ejemplos del val set</w:t>
      </w:r>
    </w:p>
    <w:p>
      <w:pPr>
        <w:jc w:val="both"/>
      </w:pPr>
      <w:r>
        <w:t>[PLACEHOLDER]</w:t>
      </w:r>
    </w:p>
    <w:p>
      <w:pPr>
        <w:pStyle w:val="Descripcin"/>
        <w:jc w:val="left"/>
      </w:pPr>
      <w:r>
        <w:rPr>
          <w:b/>
        </w:rPr>
        <w:t>Figura 12</w:t>
      </w:r>
    </w:p>
    <w:p>
      <w:pPr>
        <w:jc w:val="left"/>
      </w:pPr>
      <w:r>
        <w:rPr>
          <w:i/>
        </w:rPr>
        <w:t>Comparativa de BLEU, chrF++ y BERTScore por configuración y dirección</w:t>
      </w:r>
    </w:p>
    <w:p>
      <w:pPr/>
      <w:r>
        <w:rPr>
          <w:b w:val="0"/>
          <w:i/>
        </w:rPr>
        <w:t>[FIGURA NO ENCONTRADA: fig12_metricas_comparativas.png]</w:t>
      </w:r>
    </w:p>
    <w:p>
      <w:pPr>
        <w:pStyle w:val="Piedefoto-tabla"/>
        <w:jc w:val="both"/>
      </w:pPr>
      <w:r>
        <w:rPr>
          <w:i/>
        </w:rPr>
        <w:t xml:space="preserve">Nota. </w:t>
      </w:r>
      <w:r>
        <w:t>Elaboración propia a partir del Notebook 11.</w:t>
      </w:r>
    </w:p>
    <w:p>
      <w:pPr>
        <w:pStyle w:val="Ttulo2"/>
      </w:pPr>
      <w:r>
        <w:rPr>
          <w:b w:val="0"/>
          <w:i w:val="0"/>
        </w:rPr>
        <w:t>4.7 Repositorio de código y datos</w:t>
      </w:r>
    </w:p>
    <w:p>
      <w:pPr>
        <w:jc w:val="both"/>
      </w:pPr>
      <w:r>
        <w:t xml:space="preserve">El código del proyecto se organiza ahora como un paquete Python reproducible bajo </w:t>
      </w:r>
      <w:r>
        <w:rPr>
          <w:rFonts w:ascii="Consolas" w:hAnsi="Consolas"/>
        </w:rPr>
        <w:t>pyproject.toml</w:t>
      </w:r>
      <w:r>
        <w:t xml:space="preserve"> con dependencias bloqueadas en </w:t>
      </w:r>
      <w:r>
        <w:rPr>
          <w:rFonts w:ascii="Consolas" w:hAnsi="Consolas"/>
        </w:rPr>
        <w:t>uv.lock</w:t>
      </w:r>
      <w:r>
        <w:t xml:space="preserve">. El árbol del repositorio incluye doce notebooks (00 a 11) que cubren desde la configuración del entorno hasta la evaluación comparativa, un paquete </w:t>
      </w:r>
      <w:r>
        <w:rPr>
          <w:rFonts w:ascii="Consolas" w:hAnsi="Consolas"/>
        </w:rPr>
        <w:t>src/</w:t>
      </w:r>
      <w:r>
        <w:t xml:space="preserve"> con los módulos reutilizables del RAG (</w:t>
      </w:r>
      <w:r>
        <w:rPr>
          <w:rFonts w:ascii="Consolas" w:hAnsi="Consolas"/>
        </w:rPr>
        <w:t>embeddings</w:t>
      </w:r>
      <w:r>
        <w:t xml:space="preserve">, </w:t>
      </w:r>
      <w:r>
        <w:rPr>
          <w:rFonts w:ascii="Consolas" w:hAnsi="Consolas"/>
        </w:rPr>
        <w:t>indexes</w:t>
      </w:r>
      <w:r>
        <w:t xml:space="preserve">, </w:t>
      </w:r>
      <w:r>
        <w:rPr>
          <w:rFonts w:ascii="Consolas" w:hAnsi="Consolas"/>
        </w:rPr>
        <w:t>retriever</w:t>
      </w:r>
      <w:r>
        <w:t>), del fine-tuning (</w:t>
      </w:r>
      <w:r>
        <w:rPr>
          <w:rFonts w:ascii="Consolas" w:hAnsi="Consolas"/>
        </w:rPr>
        <w:t>nllb_lora</w:t>
      </w:r>
      <w:r>
        <w:t>), del pipeline LLM (</w:t>
      </w:r>
      <w:r>
        <w:rPr>
          <w:rFonts w:ascii="Consolas" w:hAnsi="Consolas"/>
        </w:rPr>
        <w:t>claude_rag</w:t>
      </w:r>
      <w:r>
        <w:t>) y de la evaluación (</w:t>
      </w:r>
      <w:r>
        <w:rPr>
          <w:rFonts w:ascii="Consolas" w:hAnsi="Consolas"/>
        </w:rPr>
        <w:t>metrics</w:t>
      </w:r>
      <w:r>
        <w:t xml:space="preserve">), y los corpus generados bajo </w:t>
      </w:r>
      <w:r>
        <w:rPr>
          <w:rFonts w:ascii="Consolas" w:hAnsi="Consolas"/>
        </w:rPr>
        <w:t>datos/</w:t>
      </w:r>
      <w:r>
        <w:t xml:space="preserve"> (</w:t>
      </w:r>
      <w:r>
        <w:rPr>
          <w:rFonts w:ascii="Consolas" w:hAnsi="Consolas"/>
        </w:rPr>
        <w:t>corpus_paralelo.jsonl</w:t>
      </w:r>
      <w:r>
        <w:t>, las tres particiones, las predicciones por configuración, las métricas consolidadas). Los pesos del adaptador LoRA y los índices LanceDB están excluidos del control de versiones por su tamaño, pero se regeneran íntegramente al reejecutar los notebooks correspondientes sobre los recursos primarios. El detalle completo se encuentra en el Anexo A.</w:t>
      </w:r>
    </w:p>
    <w:p>
      <w:pPr>
        <w:jc w:val="both"/>
      </w:pPr>
      <w:r>
        <w:t>---</w:t>
      </w:r>
    </w:p>
    <w:p>
      <w:r>
        <w:br w:type="page"/>
      </w:r>
    </w:p>
    <w:p>
      <w:pPr/>
      <w:r>
        <w:rPr>
          <w:b w:val="0"/>
          <w:i w:val="0"/>
        </w:rPr>
        <w:t>======================================================================</w:t>
      </w:r>
    </w:p>
    <w:p>
      <w:pPr/>
      <w:r>
        <w:rPr>
          <w:b/>
          <w:i w:val="0"/>
        </w:rPr>
        <w:t>INSERTAR EN: Sustituir todo el Capitulo 5 en tu .docx final (5.1 a 5.3)</w:t>
      </w:r>
    </w:p>
    <w:p>
      <w:pPr/>
      <w:r>
        <w:rPr>
          <w:b w:val="0"/>
          <w:i w:val="0"/>
        </w:rPr>
        <w:t>======================================================================</w:t>
      </w:r>
    </w:p>
    <w:p>
      <w:pPr/>
    </w:p>
    <w:p>
      <w:pPr>
        <w:pStyle w:val="Ttulo1"/>
        <w:pageBreakBefore/>
      </w:pPr>
      <w:r>
        <w:rPr>
          <w:b w:val="0"/>
          <w:i w:val="0"/>
        </w:rPr>
        <w:t>5. Conclusiones y trabajo futuro</w:t>
      </w:r>
    </w:p>
    <w:p>
      <w:pPr>
        <w:pStyle w:val="Ttulo2"/>
      </w:pPr>
      <w:r>
        <w:rPr>
          <w:b w:val="0"/>
          <w:i w:val="0"/>
        </w:rPr>
        <w:t>5.1 Conclusiones preliminares</w:t>
      </w:r>
    </w:p>
    <w:p>
      <w:pPr>
        <w:jc w:val="both"/>
      </w:pPr>
      <w:r>
        <w:t>El trabajo presentado en esta memoria intermedia demuestra la viabilidad técnica de construir un sistema bidireccional de traducción automática Inga-Español a partir de fuentes primarias heterogéneas y mediante dos paradigmas complementarios. Cinco resultados concretos sustentan esta afirmación.</w:t>
      </w:r>
    </w:p>
    <w:p>
      <w:pPr>
        <w:jc w:val="both"/>
      </w:pPr>
      <w:r>
        <w:t>Primero, el corpus paralelo Inga-Español alcanzó 5.589 pares verificados, una cifra que excede el umbral de los 5.000 pares planteado como meta mínima del proyecto y que supera ampliamente las cifras reportadas por los antecedentes académicos directos para el par lingüístico (Prieto et al., 2024; Salazar et al., 2025). La fuente del 100% de estos pares es el Nuevo Testamento, alineado canónicamente entre la traducción Wycliffe en Inga y la traducción Reina-Valera 1909 en español. La elección de Reina-Valera 1909 sobre otras alternativas catolicas como la Biblia Latinoamericana responde a una restricción de licenciamiento que se evaluó explícitamente: el compromiso del proyecto con la liberación abierta de recursos para la comunidad Inga es incompatible con la inclusión de texto bajo copyright vigente.</w:t>
      </w:r>
    </w:p>
    <w:p>
      <w:pPr>
        <w:jc w:val="both"/>
      </w:pPr>
      <w:r>
        <w:t xml:space="preserve">Segundo, el diseño del sistema de recuperación aumentada se materializó en cuatro índices vectoriales operativos sobre LanceDB con embeddings producidos por </w:t>
      </w:r>
      <w:r>
        <w:rPr>
          <w:rFonts w:ascii="Consolas" w:hAnsi="Consolas"/>
        </w:rPr>
        <w:t>gemini-embedding-001</w:t>
      </w:r>
      <w:r>
        <w:t>. La validación cualitativa del retriever sobre tres queries representativas (una palabra suelta, una frase corta, una oración completa) confirma que el sistema recupera contexto semánticamente relevante en los tres niveles de granularidad. La existencia del cuarto índice (</w:t>
      </w:r>
      <w:r>
        <w:rPr>
          <w:rFonts w:ascii="Consolas" w:hAnsi="Consolas"/>
        </w:rPr>
        <w:t>ejemplos_es</w:t>
      </w:r>
      <w:r>
        <w:t>) habilita la dirección de traducción español a Inga sin necesidad de reentrenar embeddings.</w:t>
      </w:r>
    </w:p>
    <w:p>
      <w:pPr>
        <w:jc w:val="both"/>
      </w:pPr>
      <w:r>
        <w:t>Tercero, la adaptación de NLLB-200-distilled-600M mediante LoRA quedó implementada como pipeline reproducible con el corpus duplicado para entrenamiento bidireccional. Un único adaptador sirve para ambas direcciones según los códigos de lengua que se le pasen al tokenizador en inferencia, lo que reduce el costo de almacenamiento y mantenimiento respecto a entrenar dos adaptadores independientes.</w:t>
      </w:r>
    </w:p>
    <w:p>
      <w:pPr>
        <w:jc w:val="both"/>
      </w:pPr>
      <w:r>
        <w:t>Cuarto, el pipeline LLM más RAG con Claude Sonnet 4.6 se implementó con prompts estructurados específicos por dirección, donde el prompt para español a Inga enfatiza explícitamente la primacía del vocabulario y la gramática recuperados sobre el conocimiento previo del modelo, dado que Claude tiene exposición limitada al Inga durante su preentrenamiento.</w:t>
      </w:r>
    </w:p>
    <w:p>
      <w:pPr>
        <w:jc w:val="both"/>
      </w:pPr>
      <w:r>
        <w:t>Quinto, la evaluación comparativa preliminar de las cinco configuraciones experimentales (A, B, C, D y E) en ambas direcciones quedó ejecutada sobre 100 ejemplos del conjunto de validación, con métricas BLEU, chrF++ y BERTScore reportadas en la Tabla 8. [PLACEHOLDER 5.1 - completar con el hallazgo cuantitativo principal cuando esten las metricas: cual configuracion gana en cada metrica y direccion, magnitud aproximada de la diferencia entre baselines y configs adaptadas.]</w:t>
      </w:r>
    </w:p>
    <w:p>
      <w:pPr>
        <w:pStyle w:val="Ttulo2"/>
      </w:pPr>
      <w:r>
        <w:rPr>
          <w:b w:val="0"/>
          <w:i w:val="0"/>
        </w:rPr>
        <w:t>5.2 Discusión</w:t>
      </w:r>
    </w:p>
    <w:p>
      <w:pPr>
        <w:jc w:val="both"/>
      </w:pPr>
      <w:r>
        <w:t>[PLACEHOLDER 5.2 - escribir analisis comparativo de configs y hallazgos cualitativos cuando las metricas esten disponibles. Cubrir: efecto del LoRA vs NLLB base, contribucion del RAG sobre Claude zero-shot, asimetria entre direcciones de traduccion, casos de fallo observados en la inspeccion cualitativa.]</w:t>
      </w:r>
    </w:p>
    <w:p>
      <w:pPr>
        <w:jc w:val="both"/>
      </w:pPr>
      <w:r>
        <w:t xml:space="preserve">Tres limitaciones del presente estado deben señalarse para encuadrar correctamente las conclusiones anteriores. La primera es la ausencia del dialecto Medio Putumayo en el corpus de entrenamiento: la cartilla </w:t>
      </w:r>
      <w:r>
        <w:rPr>
          <w:i/>
        </w:rPr>
        <w:t>Antihua Pacay</w:t>
      </w:r>
      <w:r>
        <w:t xml:space="preserve"> es la única fuente disponible para esa variante y su alineación requiere un alineador semántico que no fue viable implementar en el tiempo disponible. La segunda es el tamaño acotado del conjunto de validación utilizado para reportar métricas (100 ejemplos por dirección frente a los 558 disponibles), decisión motivada por el control de costos en las llamadas a la API de Anthropic. La tercera es la ausencia de validación humana con hablantes nativos, que se considera indispensable para capturar dimensiones de calidad que las métricas automáticas no reflejan (Ebrahimi et al., 2024).</w:t>
      </w:r>
    </w:p>
    <w:p>
      <w:pPr>
        <w:pStyle w:val="Ttulo2"/>
      </w:pPr>
      <w:r>
        <w:rPr>
          <w:b w:val="0"/>
          <w:i w:val="0"/>
        </w:rPr>
        <w:t>5.3 Líneas de trabajo hacia la Entrega Final</w:t>
      </w:r>
    </w:p>
    <w:p>
      <w:pPr>
        <w:jc w:val="both"/>
      </w:pPr>
      <w:r>
        <w:t>El cierre del proyecto en la entrega final del TFM contempla cinco líneas de trabajo derivadas directamente de las limitaciones identificadas y de los resultados de la presente iteración.</w:t>
      </w:r>
    </w:p>
    <w:p>
      <w:pPr>
        <w:jc w:val="both"/>
      </w:pPr>
      <w:r>
        <w:t xml:space="preserve">La primera consiste en incorporar el dialecto Medio Putumayo mediante un alineador semántico basado en sentence embeddings multilingües (LaBSE o similar) aplicado sobre las narrativas de </w:t>
      </w:r>
      <w:r>
        <w:rPr>
          <w:i/>
        </w:rPr>
        <w:t>Antihua Pacay</w:t>
      </w:r>
      <w:r>
        <w:t xml:space="preserve">. La hipótesis de trabajo es que un alineador por similitud coseno entre oraciones individuales permitirá recuperar entre 100 y 300 pares MP de calidad, suficientes para incorporar el dialecto al </w:t>
      </w:r>
      <w:r>
        <w:rPr>
          <w:i/>
        </w:rPr>
        <w:t>split</w:t>
      </w:r>
      <w:r>
        <w:t xml:space="preserve"> de entrenamiento y evaluar el efecto de la cobertura bidialectal en la calidad de la traducción.</w:t>
      </w:r>
    </w:p>
    <w:p>
      <w:pPr>
        <w:jc w:val="both"/>
      </w:pPr>
      <w:r>
        <w:t xml:space="preserve">La segunda línea es la ejecución de un estudio sistemático de ablations sobre los hiperparámetros del adaptador LoRA, en concreto sobre el rango (valores 4, 8, 16, 32, 64), el factor de escala alpha (16, 32, 64) y la inclusión o no de la técnica QLoRA con cuantización a 4 bits. El estudio se complementará con un experimento de augmentación sintética por </w:t>
      </w:r>
      <w:r>
        <w:rPr>
          <w:i/>
        </w:rPr>
        <w:t>back-translation</w:t>
      </w:r>
      <w:r>
        <w:t xml:space="preserve"> sobre material monolingüe en Inga.</w:t>
      </w:r>
    </w:p>
    <w:p>
      <w:pPr>
        <w:jc w:val="both"/>
      </w:pPr>
      <w:r>
        <w:t>La tercera línea es el escalado del modelo base de NLLB-200-distilled-600M a NLLB-200-3.3B, posible en la estación local de cómputo del proyecto pero con tiempos de entrenamiento más largos. La comparación entre ambos tamaños permitirá evaluar el retorno marginal del aumento de parámetros para una lengua extremadamente de bajos recursos.</w:t>
      </w:r>
    </w:p>
    <w:p>
      <w:pPr>
        <w:jc w:val="both"/>
      </w:pPr>
      <w:r>
        <w:t>La cuarta línea es la ejecución de una sesión de validación humana con cinco hablantes nativos del Inga, dos del Alto Putumayo y tres del Medio Putumayo, en formato de evaluación ciega con rúbrica de tres dimensiones: adecuación semántica, fluidez gramatical y naturalidad cultural. La logística contempla coordinar las sesiones a través del integrante del equipo residente en Mocoa, con compensación por participación según los principios éticos sistematizados por Mager et al. (2023).</w:t>
      </w:r>
    </w:p>
    <w:p>
      <w:pPr>
        <w:jc w:val="both"/>
      </w:pPr>
      <w:r>
        <w:t>La quinta línea es el empaquetado del sistema resultante como aplicación local reproducible, con interfaz mínima de línea de comandos que acepte un texto en cualquiera de las dos lenguas y devuelva la traducción más confiable según las configuraciones evaluadas. La documentación incluirá una guía de despliegue en hardware comparable al utilizado en el proyecto.</w:t>
      </w:r>
    </w:p>
    <w:p>
      <w:pPr>
        <w:jc w:val="both"/>
      </w:pPr>
      <w:r>
        <w:t>---</w:t>
      </w:r>
    </w:p>
    <w:p>
      <w:r>
        <w:br w:type="page"/>
      </w:r>
    </w:p>
    <w:p>
      <w:pPr/>
      <w:r>
        <w:rPr>
          <w:b w:val="0"/>
          <w:i w:val="0"/>
        </w:rPr>
        <w:t>======================================================================</w:t>
      </w:r>
    </w:p>
    <w:p>
      <w:pPr/>
      <w:r>
        <w:rPr>
          <w:b/>
          <w:i w:val="0"/>
        </w:rPr>
        <w:t>INSERTAR EN: Sustituir Anexo A en tu .docx final (estructura del repositorio expandida)</w:t>
      </w:r>
    </w:p>
    <w:p>
      <w:pPr/>
      <w:r>
        <w:rPr>
          <w:b w:val="0"/>
          <w:i w:val="0"/>
        </w:rPr>
        <w:t>======================================================================</w:t>
      </w:r>
    </w:p>
    <w:p>
      <w:pPr/>
    </w:p>
    <w:p>
      <w:pPr>
        <w:pStyle w:val="Ttulo1"/>
        <w:pageBreakBefore/>
      </w:pPr>
      <w:r>
        <w:rPr>
          <w:b w:val="0"/>
          <w:i w:val="0"/>
        </w:rPr>
        <w:t>Anexo A. Código fuente y datos analizados</w:t>
      </w:r>
    </w:p>
    <w:p>
      <w:pPr>
        <w:jc w:val="both"/>
      </w:pPr>
      <w:r>
        <w:t xml:space="preserve">El código fuente del TFM se aloja en el repositorio </w:t>
      </w:r>
      <w:r>
        <w:rPr>
          <w:rFonts w:ascii="Consolas" w:hAnsi="Consolas"/>
        </w:rPr>
        <w:t>https://github.com/Purakuna/tfm-inga-traduccion</w:t>
      </w:r>
      <w:r>
        <w:t xml:space="preserve"> de la organización Purakuna, de acceso restringido durante la ejecución del proyecto, con el enlace comunicado al director del trabajo. El proyecto se gestiona como paquete Python reproducible con </w:t>
      </w:r>
      <w:r>
        <w:rPr>
          <w:rFonts w:ascii="Consolas" w:hAnsi="Consolas"/>
        </w:rPr>
        <w:t>pyproject.toml</w:t>
      </w:r>
      <w:r>
        <w:t xml:space="preserve"> y </w:t>
      </w:r>
      <w:r>
        <w:rPr>
          <w:rFonts w:ascii="Consolas" w:hAnsi="Consolas"/>
        </w:rPr>
        <w:t>uv.lock</w:t>
      </w:r>
      <w:r>
        <w:t xml:space="preserve">, instalable mediante el gestor de dependencias </w:t>
      </w:r>
      <w:r>
        <w:rPr>
          <w:rFonts w:ascii="Consolas" w:hAnsi="Consolas"/>
        </w:rPr>
        <w:t>uv</w:t>
      </w:r>
      <w:r>
        <w:t>. La estructura del repositorio se organiza según se describe a continuación.</w:t>
      </w:r>
    </w:p>
    <w:p>
      <w:pPr>
        <w:jc w:val="both"/>
      </w:pPr>
      <w:r>
        <w:t xml:space="preserve">La carpeta </w:t>
      </w:r>
      <w:r>
        <w:rPr>
          <w:rFonts w:ascii="Consolas" w:hAnsi="Consolas"/>
        </w:rPr>
        <w:t>notebooks/</w:t>
      </w:r>
      <w:r>
        <w:t xml:space="preserve"> contiene doce </w:t>
      </w:r>
      <w:r>
        <w:rPr>
          <w:i/>
        </w:rPr>
        <w:t>notebooks</w:t>
      </w:r>
      <w:r>
        <w:t xml:space="preserve"> de Jupyter ejecutables en orden numérico:</w:t>
      </w:r>
    </w:p>
    <w:p>
      <w:pPr>
        <w:pStyle w:val="Prrafodelista"/>
        <w:jc w:val="both"/>
      </w:pPr>
      <w:r>
        <w:rPr>
          <w:rFonts w:ascii="Consolas" w:hAnsi="Consolas"/>
        </w:rPr>
        <w:t>00_setup_entorno.ipynb</w:t>
      </w:r>
      <w:r>
        <w:t>, configuración y validación del entorno local (Python 3.11, PyTorch con aceleración MPS, librerías centrales) y prueba de inferencia zero-shot del modelo multilingüe utilizado como base.</w:t>
      </w:r>
    </w:p>
    <w:p>
      <w:pPr>
        <w:pStyle w:val="Prrafodelista"/>
        <w:jc w:val="both"/>
      </w:pPr>
      <w:r>
        <w:rPr>
          <w:rFonts w:ascii="Consolas" w:hAnsi="Consolas"/>
        </w:rPr>
        <w:t>01_eda_recursos_base.ipynb</w:t>
      </w:r>
      <w:r>
        <w:t xml:space="preserve">, análisis exploratorio de los cinco recursos lingüísticos primarios y volcado preliminar del </w:t>
      </w:r>
      <w:r>
        <w:rPr>
          <w:i/>
        </w:rPr>
        <w:t>Diccionario Inga</w:t>
      </w:r>
      <w:r>
        <w:t>.</w:t>
      </w:r>
    </w:p>
    <w:p>
      <w:pPr>
        <w:pStyle w:val="Prrafodelista"/>
        <w:jc w:val="both"/>
      </w:pPr>
      <w:r>
        <w:rPr>
          <w:rFonts w:ascii="Consolas" w:hAnsi="Consolas"/>
        </w:rPr>
        <w:t>02_extraccion_corpus_NT.ipynb</w:t>
      </w:r>
      <w:r>
        <w:t xml:space="preserve">, extracción heurística inicial del Nuevo Testamento en Inga y de las narrativas </w:t>
      </w:r>
      <w:r>
        <w:rPr>
          <w:i/>
        </w:rPr>
        <w:t>Antihua Pacay</w:t>
      </w:r>
      <w:r>
        <w:t>.</w:t>
      </w:r>
    </w:p>
    <w:p>
      <w:pPr>
        <w:pStyle w:val="Prrafodelista"/>
        <w:jc w:val="both"/>
      </w:pPr>
      <w:r>
        <w:rPr>
          <w:rFonts w:ascii="Consolas" w:hAnsi="Consolas"/>
        </w:rPr>
        <w:t>03_extraccion_NT_inga_estructurada.ipynb</w:t>
      </w:r>
      <w:r>
        <w:t>, parser estructurado del NT Inga que recupera 6.083 versículos únicos con tupla canónica (libro, capítulo, versículo).</w:t>
      </w:r>
    </w:p>
    <w:p>
      <w:pPr>
        <w:pStyle w:val="Prrafodelista"/>
        <w:jc w:val="both"/>
      </w:pPr>
      <w:r>
        <w:rPr>
          <w:rFonts w:ascii="Consolas" w:hAnsi="Consolas"/>
        </w:rPr>
        <w:t>04_extraccion_NT_rv1909.ipynb</w:t>
      </w:r>
      <w:r>
        <w:t>, parser de los 27 archivos USFM del NT Reina-Valera 1909 con limpieza de marcado anotativo.</w:t>
      </w:r>
    </w:p>
    <w:p>
      <w:pPr>
        <w:pStyle w:val="Prrafodelista"/>
        <w:jc w:val="both"/>
      </w:pPr>
      <w:r>
        <w:rPr>
          <w:rFonts w:ascii="Consolas" w:hAnsi="Consolas"/>
        </w:rPr>
        <w:t>05_alineacion_NT.ipynb</w:t>
      </w:r>
      <w:r>
        <w:t xml:space="preserve">, </w:t>
      </w:r>
      <w:r>
        <w:rPr>
          <w:i/>
        </w:rPr>
        <w:t>inner join</w:t>
      </w:r>
      <w:r>
        <w:t xml:space="preserve"> canónico entre las dos versiones del NT con filtros de calidad, resultado: 5.589 pares paralelos.</w:t>
      </w:r>
    </w:p>
    <w:p>
      <w:pPr>
        <w:pStyle w:val="Prrafodelista"/>
        <w:jc w:val="both"/>
      </w:pPr>
      <w:r>
        <w:rPr>
          <w:rFonts w:ascii="Consolas" w:hAnsi="Consolas"/>
        </w:rPr>
        <w:t>06_antihua_pacay_alineado.ipynb</w:t>
      </w:r>
      <w:r>
        <w:t>, alineación exploratoria de Antihua Pacay (no incorporada al corpus de entrenamiento por baja calidad de la alineación oracional sin alineador semántico).</w:t>
      </w:r>
    </w:p>
    <w:p>
      <w:pPr>
        <w:pStyle w:val="Prrafodelista"/>
        <w:jc w:val="both"/>
      </w:pPr>
      <w:r>
        <w:rPr>
          <w:rFonts w:ascii="Consolas" w:hAnsi="Consolas"/>
        </w:rPr>
        <w:t>07_corpus_particiones.ipynb</w:t>
      </w:r>
      <w:r>
        <w:t>, unificación, particiones train/val/test 80/10/10 con semilla 42 y generación de la Figura 9.</w:t>
      </w:r>
    </w:p>
    <w:p>
      <w:pPr>
        <w:pStyle w:val="Prrafodelista"/>
        <w:jc w:val="both"/>
      </w:pPr>
      <w:r>
        <w:rPr>
          <w:rFonts w:ascii="Consolas" w:hAnsi="Consolas"/>
        </w:rPr>
        <w:t>08_indexacion_vectorial.ipynb</w:t>
      </w:r>
      <w:r>
        <w:t xml:space="preserve">, construcción de los cuatro índices LanceDB con embeddings </w:t>
      </w:r>
      <w:r>
        <w:rPr>
          <w:rFonts w:ascii="Consolas" w:hAnsi="Consolas"/>
        </w:rPr>
        <w:t>gemini-embedding-001</w:t>
      </w:r>
      <w:r>
        <w:t>.</w:t>
      </w:r>
    </w:p>
    <w:p>
      <w:pPr>
        <w:pStyle w:val="Prrafodelista"/>
        <w:jc w:val="both"/>
      </w:pPr>
      <w:r>
        <w:rPr>
          <w:rFonts w:ascii="Consolas" w:hAnsi="Consolas"/>
        </w:rPr>
        <w:t>09_finetuning_lora.ipynb</w:t>
      </w:r>
      <w:r>
        <w:t>, ajuste fino bidireccional de NLLB-200-distilled-600M mediante adaptadores LoRA.</w:t>
      </w:r>
    </w:p>
    <w:p>
      <w:pPr>
        <w:pStyle w:val="Prrafodelista"/>
        <w:jc w:val="both"/>
      </w:pPr>
      <w:r>
        <w:rPr>
          <w:rFonts w:ascii="Consolas" w:hAnsi="Consolas"/>
        </w:rPr>
        <w:t>10_medicion_nllb_configs.ipynb</w:t>
      </w:r>
      <w:r>
        <w:t xml:space="preserve">, evaluación de las configuraciones A y B en ambas direcciones sobre 100 ejemplos del </w:t>
      </w:r>
      <w:r>
        <w:rPr>
          <w:i/>
        </w:rPr>
        <w:t>val set</w:t>
      </w:r>
      <w:r>
        <w:t>.</w:t>
      </w:r>
    </w:p>
    <w:p>
      <w:pPr>
        <w:pStyle w:val="Prrafodelista"/>
        <w:jc w:val="both"/>
      </w:pPr>
      <w:r>
        <w:rPr>
          <w:rFonts w:ascii="Consolas" w:hAnsi="Consolas"/>
        </w:rPr>
        <w:t>11_medicion_llm_rag.ipynb</w:t>
      </w:r>
      <w:r>
        <w:t>, evaluación de las configuraciones C, D y E con Claude Sonnet 4.6 y generación de la Figura 12.</w:t>
      </w:r>
    </w:p>
    <w:p>
      <w:pPr>
        <w:jc w:val="both"/>
      </w:pPr>
      <w:r>
        <w:t xml:space="preserve">La carpeta </w:t>
      </w:r>
      <w:r>
        <w:rPr>
          <w:rFonts w:ascii="Consolas" w:hAnsi="Consolas"/>
        </w:rPr>
        <w:t>src/</w:t>
      </w:r>
      <w:r>
        <w:t xml:space="preserve"> contiene los módulos reutilizables del proyecto, organizados en tres subpaquetes:</w:t>
      </w:r>
    </w:p>
    <w:p>
      <w:pPr>
        <w:pStyle w:val="Prrafodelista"/>
        <w:jc w:val="both"/>
      </w:pPr>
      <w:r>
        <w:rPr>
          <w:rFonts w:ascii="Consolas" w:hAnsi="Consolas"/>
        </w:rPr>
        <w:t>src/rag/</w:t>
      </w:r>
      <w:r>
        <w:t xml:space="preserve"> con </w:t>
      </w:r>
      <w:r>
        <w:rPr>
          <w:rFonts w:ascii="Consolas" w:hAnsi="Consolas"/>
        </w:rPr>
        <w:t>embeddings.py</w:t>
      </w:r>
      <w:r>
        <w:t xml:space="preserve"> (wrapper de Gemini con throttling y reintento), </w:t>
      </w:r>
      <w:r>
        <w:rPr>
          <w:rFonts w:ascii="Consolas" w:hAnsi="Consolas"/>
        </w:rPr>
        <w:t>indexes.py</w:t>
      </w:r>
      <w:r>
        <w:t xml:space="preserve"> (gestión de tablas LanceDB) y </w:t>
      </w:r>
      <w:r>
        <w:rPr>
          <w:rFonts w:ascii="Consolas" w:hAnsi="Consolas"/>
        </w:rPr>
        <w:t>retriever.py</w:t>
      </w:r>
      <w:r>
        <w:t xml:space="preserve"> (API uniforme multi-índice).</w:t>
      </w:r>
    </w:p>
    <w:p>
      <w:pPr>
        <w:pStyle w:val="Prrafodelista"/>
        <w:jc w:val="both"/>
      </w:pPr>
      <w:r>
        <w:rPr>
          <w:rFonts w:ascii="Consolas" w:hAnsi="Consolas"/>
        </w:rPr>
        <w:t>src/models/</w:t>
      </w:r>
      <w:r>
        <w:t xml:space="preserve"> con </w:t>
      </w:r>
      <w:r>
        <w:rPr>
          <w:rFonts w:ascii="Consolas" w:hAnsi="Consolas"/>
        </w:rPr>
        <w:t>nllb_lora.py</w:t>
      </w:r>
      <w:r>
        <w:t xml:space="preserve"> (setup de NLLB y aplicación de LoRA) y </w:t>
      </w:r>
      <w:r>
        <w:rPr>
          <w:rFonts w:ascii="Consolas" w:hAnsi="Consolas"/>
        </w:rPr>
        <w:t>claude_rag.py</w:t>
      </w:r>
      <w:r>
        <w:t xml:space="preserve"> (pipeline LLM con prompts estructurados por dirección).</w:t>
      </w:r>
    </w:p>
    <w:p>
      <w:pPr>
        <w:pStyle w:val="Prrafodelista"/>
        <w:jc w:val="both"/>
      </w:pPr>
      <w:r>
        <w:rPr>
          <w:rFonts w:ascii="Consolas" w:hAnsi="Consolas"/>
        </w:rPr>
        <w:t>src/eval/</w:t>
      </w:r>
      <w:r>
        <w:t xml:space="preserve"> con </w:t>
      </w:r>
      <w:r>
        <w:rPr>
          <w:rFonts w:ascii="Consolas" w:hAnsi="Consolas"/>
        </w:rPr>
        <w:t>metrics.py</w:t>
      </w:r>
      <w:r>
        <w:t xml:space="preserve"> (wrappers de BLEU, chrF++ y BERTScore).</w:t>
      </w:r>
    </w:p>
    <w:p>
      <w:pPr>
        <w:jc w:val="both"/>
      </w:pPr>
      <w:r>
        <w:t xml:space="preserve">La carpeta </w:t>
      </w:r>
      <w:r>
        <w:rPr>
          <w:rFonts w:ascii="Consolas" w:hAnsi="Consolas"/>
        </w:rPr>
        <w:t>datos/</w:t>
      </w:r>
      <w:r>
        <w:t xml:space="preserve"> contiene las salidas estructuradas y los corpus generados:</w:t>
      </w:r>
    </w:p>
    <w:p>
      <w:pPr>
        <w:pStyle w:val="Prrafodelista"/>
        <w:jc w:val="both"/>
      </w:pPr>
      <w:r>
        <w:rPr>
          <w:rFonts w:ascii="Consolas" w:hAnsi="Consolas"/>
        </w:rPr>
        <w:t>datos/diccionario_inga.jsonl</w:t>
      </w:r>
      <w:r>
        <w:t>, 4.900 entradas léxicas con lema, categoría gramatical y glosa.</w:t>
      </w:r>
    </w:p>
    <w:p>
      <w:pPr>
        <w:pStyle w:val="Prrafodelista"/>
        <w:jc w:val="both"/>
      </w:pPr>
      <w:r>
        <w:rPr>
          <w:rFonts w:ascii="Consolas" w:hAnsi="Consolas"/>
        </w:rPr>
        <w:t>datos/nt_inga_estructurado.jsonl</w:t>
      </w:r>
      <w:r>
        <w:t xml:space="preserve"> y </w:t>
      </w:r>
      <w:r>
        <w:rPr>
          <w:rFonts w:ascii="Consolas" w:hAnsi="Consolas"/>
        </w:rPr>
        <w:t>datos/nt_rv1909_estructurado.jsonl</w:t>
      </w:r>
      <w:r>
        <w:t>, salidas de los notebooks 03 y 04.</w:t>
      </w:r>
    </w:p>
    <w:p>
      <w:pPr>
        <w:pStyle w:val="Prrafodelista"/>
        <w:jc w:val="both"/>
      </w:pPr>
      <w:r>
        <w:rPr>
          <w:rFonts w:ascii="Consolas" w:hAnsi="Consolas"/>
        </w:rPr>
        <w:t>datos/nt_paralelo.jsonl</w:t>
      </w:r>
      <w:r>
        <w:t>, 5.589 pares paralelos resultantes de la alineación canónica.</w:t>
      </w:r>
    </w:p>
    <w:p>
      <w:pPr>
        <w:pStyle w:val="Prrafodelista"/>
        <w:jc w:val="both"/>
      </w:pPr>
      <w:r>
        <w:rPr>
          <w:rFonts w:ascii="Consolas" w:hAnsi="Consolas"/>
        </w:rPr>
        <w:t>datos/antihua_pacay_alineado.jsonl</w:t>
      </w:r>
      <w:r>
        <w:t>, 86 pares exploratorios del Medio Putumayo.</w:t>
      </w:r>
    </w:p>
    <w:p>
      <w:pPr>
        <w:pStyle w:val="Prrafodelista"/>
        <w:jc w:val="both"/>
      </w:pPr>
      <w:r>
        <w:rPr>
          <w:rFonts w:ascii="Consolas" w:hAnsi="Consolas"/>
        </w:rPr>
        <w:t>datos/corpus_paralelo.jsonl</w:t>
      </w:r>
      <w:r>
        <w:t>, corpus unificado.</w:t>
      </w:r>
    </w:p>
    <w:p>
      <w:pPr>
        <w:pStyle w:val="Prrafodelista"/>
        <w:jc w:val="both"/>
      </w:pPr>
      <w:r>
        <w:rPr>
          <w:rFonts w:ascii="Consolas" w:hAnsi="Consolas"/>
        </w:rPr>
        <w:t>datos/splits/train.jsonl</w:t>
      </w:r>
      <w:r>
        <w:t xml:space="preserve">, </w:t>
      </w:r>
      <w:r>
        <w:rPr>
          <w:rFonts w:ascii="Consolas" w:hAnsi="Consolas"/>
        </w:rPr>
        <w:t>val.jsonl</w:t>
      </w:r>
      <w:r>
        <w:t xml:space="preserve">, </w:t>
      </w:r>
      <w:r>
        <w:rPr>
          <w:rFonts w:ascii="Consolas" w:hAnsi="Consolas"/>
        </w:rPr>
        <w:t>test.jsonl</w:t>
      </w:r>
      <w:r>
        <w:t>, particiones 80/10/10.</w:t>
      </w:r>
    </w:p>
    <w:p>
      <w:pPr>
        <w:pStyle w:val="Prrafodelista"/>
        <w:jc w:val="both"/>
      </w:pPr>
      <w:r>
        <w:rPr>
          <w:rFonts w:ascii="Consolas" w:hAnsi="Consolas"/>
        </w:rPr>
        <w:t>datos/metricas_entrega2.json</w:t>
      </w:r>
      <w:r>
        <w:t xml:space="preserve"> y </w:t>
      </w:r>
      <w:r>
        <w:rPr>
          <w:rFonts w:ascii="Consolas" w:hAnsi="Consolas"/>
        </w:rPr>
        <w:t>datos/predicciones_val_completo.jsonl</w:t>
      </w:r>
      <w:r>
        <w:t>, salidas de la evaluación comparativa.</w:t>
      </w:r>
    </w:p>
    <w:p>
      <w:pPr>
        <w:pStyle w:val="Prrafodelista"/>
        <w:jc w:val="both"/>
      </w:pPr>
      <w:r>
        <w:rPr>
          <w:rFonts w:ascii="Consolas" w:hAnsi="Consolas"/>
        </w:rPr>
        <w:t>datos/ocr/</w:t>
      </w:r>
      <w:r>
        <w:t xml:space="preserve">, fuentes OCR derivadas, con subcarpetas </w:t>
      </w:r>
      <w:r>
        <w:rPr>
          <w:rFonts w:ascii="Consolas" w:hAnsi="Consolas"/>
        </w:rPr>
        <w:t>inga-kichwa/</w:t>
      </w:r>
      <w:r>
        <w:t xml:space="preserve"> (cinco fuentes primarias del Inga) y </w:t>
      </w:r>
      <w:r>
        <w:rPr>
          <w:rFonts w:ascii="Consolas" w:hAnsi="Consolas"/>
        </w:rPr>
        <w:t>reina-valera-1909/</w:t>
      </w:r>
      <w:r>
        <w:t xml:space="preserve"> (27 archivos USFM del NT en español).</w:t>
      </w:r>
    </w:p>
    <w:p>
      <w:pPr>
        <w:jc w:val="both"/>
      </w:pPr>
      <w:r>
        <w:t xml:space="preserve">La carpeta </w:t>
      </w:r>
      <w:r>
        <w:rPr>
          <w:rFonts w:ascii="Consolas" w:hAnsi="Consolas"/>
        </w:rPr>
        <w:t>bibliografia/</w:t>
      </w:r>
      <w:r>
        <w:t xml:space="preserve"> contiene la base bibliográfica verificada del proyecto (</w:t>
      </w:r>
      <w:r>
        <w:rPr>
          <w:rFonts w:ascii="Consolas" w:hAnsi="Consolas"/>
        </w:rPr>
        <w:t>refs_verificadas.md</w:t>
      </w:r>
      <w:r>
        <w:t>), con identificadores estables asociados a cada entrada.</w:t>
      </w:r>
    </w:p>
    <w:p>
      <w:pPr>
        <w:jc w:val="both"/>
      </w:pPr>
      <w:r>
        <w:t xml:space="preserve">La carpeta </w:t>
      </w:r>
      <w:r>
        <w:rPr>
          <w:rFonts w:ascii="Consolas" w:hAnsi="Consolas"/>
        </w:rPr>
        <w:t>entrega2/</w:t>
      </w:r>
      <w:r>
        <w:t xml:space="preserve"> contiene el documento maestro de la presente memoria intermedia y los recursos gráficos asociados; la carpeta </w:t>
      </w:r>
      <w:r>
        <w:rPr>
          <w:rFonts w:ascii="Consolas" w:hAnsi="Consolas"/>
        </w:rPr>
        <w:t>entrega1/</w:t>
      </w:r>
      <w:r>
        <w:t xml:space="preserve"> preserva el documento de la entrega anterior como referencia histórica. El </w:t>
      </w:r>
      <w:r>
        <w:rPr>
          <w:i/>
        </w:rPr>
        <w:t>script</w:t>
      </w:r>
      <w:r>
        <w:t xml:space="preserve"> </w:t>
      </w:r>
      <w:r>
        <w:rPr>
          <w:rFonts w:ascii="Consolas" w:hAnsi="Consolas"/>
        </w:rPr>
        <w:t>entrega2/build_docx.py</w:t>
      </w:r>
      <w:r>
        <w:t xml:space="preserve"> genera el documento final en formato Word a partir del Markdown maestro y la plantilla oficial UNIR.</w:t>
      </w:r>
    </w:p>
    <w:p>
      <w:pPr>
        <w:jc w:val="both"/>
      </w:pPr>
      <w:r>
        <w:rPr>
          <w:b/>
        </w:rPr>
        <w:t>Licenciamiento.</w:t>
      </w:r>
      <w:r>
        <w:t xml:space="preserve"> El código desarrollado específicamente para el TFM se publica bajo licencia MIT. Los datos derivados de fuentes externas heredan las licencias de sus respectivas fuentes primarias: el </w:t>
      </w:r>
      <w:r>
        <w:rPr>
          <w:i/>
        </w:rPr>
        <w:t>Nuevo Testamento en el idioma Inga de Colombia</w:t>
      </w:r>
      <w:r>
        <w:t xml:space="preserve"> se distribuye bajo Creative Commons Atribución-NoComercial-SinObraDerivada 3.0 (Wycliffe Bible Translators, 2012); las narrativas </w:t>
      </w:r>
      <w:r>
        <w:rPr>
          <w:i/>
        </w:rPr>
        <w:t>Antihua Pacay Gentecunapa Parlocuna</w:t>
      </w:r>
      <w:r>
        <w:t xml:space="preserve"> (Jamioy Yanangona de Peña, 1985) forman parte de los Archivos de Lengua y Cultura del SIL International, disponibles bajo términos de uso académico y de investigación; el NT Reina-Valera 1909 se distribuye en dominio público a través de eBible.org.</w:t>
      </w:r>
    </w:p>
    <w:p>
      <w:r>
        <w:br w:type="page"/>
      </w:r>
    </w:p>
    <w:p>
      <w:pPr/>
      <w:r>
        <w:rPr>
          <w:b w:val="0"/>
          <w:i w:val="0"/>
        </w:rPr>
        <w:t>======================================================================</w:t>
      </w:r>
    </w:p>
    <w:p>
      <w:pPr/>
      <w:r>
        <w:rPr>
          <w:b/>
          <w:i w:val="0"/>
        </w:rPr>
        <w:t>INSERTAR EN: Anadir esta entrada nueva en la seccion "Referencias bibliograficas" (orden alfabetico - va despues de Ebrahimi et al.)</w:t>
      </w:r>
    </w:p>
    <w:p>
      <w:pPr/>
      <w:r>
        <w:rPr>
          <w:b w:val="0"/>
          <w:i w:val="0"/>
        </w:rPr>
        <w:t>======================================================================</w:t>
      </w:r>
    </w:p>
    <w:p>
      <w:pPr/>
    </w:p>
    <w:p>
      <w:pPr>
        <w:pStyle w:val="Referenciasbibliogrficas"/>
        <w:jc w:val="both"/>
      </w:pPr>
      <w:r>
        <w:t xml:space="preserve">Finkelstein, M., Caswell, I., Domhan, T., Peter, J.-T., Juraska, J., Riley, P., Deutsch, D., Kovacs, G., Dilanni, C., Cherry, C., Briakou, E., Nielsen, E., Luo, J., Black, K., Mullins, R., Agrawal, S., Xu, W., Kats, E., Jaskiewicz, S., Freitag, M., y Vilar, D. (2026). </w:t>
      </w:r>
      <w:r>
        <w:rPr>
          <w:i/>
        </w:rPr>
        <w:t>TranslateGemma: Technical Report</w:t>
      </w:r>
      <w:r>
        <w:t xml:space="preserve"> [arXiv preprint]. https://arxiv.org/abs/2601.09012</w:t>
      </w:r>
    </w:p>
    <w:sectPr w:rsidR="001834C3" w:rsidRPr="000D09A0" w:rsidSect="004871CB">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1910C9" w14:textId="77777777" w:rsidR="004871CB" w:rsidRDefault="004871CB" w:rsidP="006403BD">
      <w:r>
        <w:separator/>
      </w:r>
    </w:p>
  </w:endnote>
  <w:endnote w:type="continuationSeparator" w:id="0">
    <w:p w14:paraId="31DDF42E" w14:textId="77777777" w:rsidR="004871CB" w:rsidRDefault="004871CB"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NewRomanPSMT">
    <w:altName w:val="MS Mincho"/>
    <w:panose1 w:val="00000000000000000000"/>
    <w:charset w:val="00"/>
    <w:family w:val="roman"/>
    <w:notTrueType/>
    <w:pitch w:val="default"/>
    <w:sig w:usb0="00000001" w:usb1="08070000" w:usb2="00000010" w:usb3="00000000" w:csb0="0002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Open Sans">
    <w:altName w:val="Calibri"/>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A638AA" w14:textId="6F31FF9A" w:rsidR="00A75783" w:rsidRPr="00751A0E" w:rsidRDefault="00A75783" w:rsidP="006403BD">
    <w:pPr>
      <w:pStyle w:val="Pgina"/>
    </w:pPr>
    <w:r w:rsidRPr="00751A0E">
      <w:fldChar w:fldCharType="begin"/>
    </w:r>
    <w:r w:rsidRPr="00751A0E">
      <w:instrText>PAGE   \* MERGEFORMAT</w:instrText>
    </w:r>
    <w:r w:rsidRPr="00751A0E">
      <w:fldChar w:fldCharType="separate"/>
    </w:r>
    <w:r w:rsidR="003D1A96">
      <w:rPr>
        <w:noProof/>
      </w:rPr>
      <w:t>13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26AA8F" w14:textId="77777777" w:rsidR="004871CB" w:rsidRDefault="004871CB" w:rsidP="006403BD">
      <w:r>
        <w:separator/>
      </w:r>
    </w:p>
  </w:footnote>
  <w:footnote w:type="continuationSeparator" w:id="0">
    <w:p w14:paraId="375FA38E" w14:textId="77777777" w:rsidR="004871CB" w:rsidRDefault="004871CB" w:rsidP="006403BD">
      <w:r>
        <w:continuationSeparator/>
      </w:r>
    </w:p>
  </w:footnote>
  <w:footnote w:id="1">
    <w:p w14:paraId="03DBC5EA" w14:textId="77777777" w:rsidR="00C308C3" w:rsidRDefault="00C308C3" w:rsidP="00C308C3">
      <w:pPr>
        <w:pStyle w:val="Textonotapie"/>
      </w:pPr>
      <w:r>
        <w:rPr>
          <w:rStyle w:val="Refdenotaalpi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60979B2"/>
    <w:multiLevelType w:val="hybridMultilevel"/>
    <w:tmpl w:val="884A0BCA"/>
    <w:lvl w:ilvl="0" w:tplc="6568D93E">
      <w:start w:val="4"/>
      <w:numFmt w:val="bullet"/>
      <w:lvlText w:val=""/>
      <w:lvlJc w:val="left"/>
      <w:pPr>
        <w:tabs>
          <w:tab w:val="num" w:pos="720"/>
        </w:tabs>
        <w:ind w:left="720" w:hanging="360"/>
      </w:pPr>
      <w:rPr>
        <w:rFonts w:ascii="Symbol" w:eastAsia="Times New Roman" w:hAnsi="Symbol" w:cs="TimesNewRomanPSMT"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72B45FA"/>
    <w:multiLevelType w:val="multilevel"/>
    <w:tmpl w:val="B37C3B20"/>
    <w:styleLink w:val="VietasUNIR"/>
    <w:lvl w:ilvl="0">
      <w:start w:val="1"/>
      <w:numFmt w:val="bullet"/>
      <w:lvlText w:val=""/>
      <w:lvlJc w:val="left"/>
      <w:pPr>
        <w:ind w:left="284" w:hanging="284"/>
      </w:pPr>
      <w:rPr>
        <w:rFonts w:ascii="Wingdings 3" w:hAnsi="Wingdings 3" w:hint="default"/>
        <w:color w:val="0098CD"/>
        <w:sz w:val="18"/>
      </w:rPr>
    </w:lvl>
    <w:lvl w:ilvl="1">
      <w:start w:val="1"/>
      <w:numFmt w:val="bullet"/>
      <w:lvlText w:val="•"/>
      <w:lvlJc w:val="left"/>
      <w:pPr>
        <w:ind w:left="567" w:hanging="283"/>
      </w:pPr>
      <w:rPr>
        <w:rFonts w:ascii="Calibri" w:hAnsi="Calibri" w:hint="default"/>
        <w:color w:val="0098CD"/>
        <w:sz w:val="22"/>
      </w:rPr>
    </w:lvl>
    <w:lvl w:ilvl="2">
      <w:start w:val="1"/>
      <w:numFmt w:val="bullet"/>
      <w:lvlText w:val=""/>
      <w:lvlJc w:val="left"/>
      <w:pPr>
        <w:ind w:left="851" w:hanging="284"/>
      </w:pPr>
      <w:rPr>
        <w:rFonts w:ascii="Wingdings" w:hAnsi="Wingdings" w:hint="default"/>
        <w:color w:val="0098CD"/>
        <w:sz w:val="24"/>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8" w15:restartNumberingAfterBreak="0">
    <w:nsid w:val="5A6B7C25"/>
    <w:multiLevelType w:val="hybridMultilevel"/>
    <w:tmpl w:val="C2E66B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6D1F18C3"/>
    <w:multiLevelType w:val="multilevel"/>
    <w:tmpl w:val="B37C3B20"/>
    <w:numStyleLink w:val="VietasUNIR"/>
  </w:abstractNum>
  <w:abstractNum w:abstractNumId="22"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1000" w:hanging="432"/>
      </w:pPr>
    </w:lvl>
    <w:lvl w:ilvl="2">
      <w:start w:val="1"/>
      <w:numFmt w:val="decimal"/>
      <w:pStyle w:val="Ttulo3"/>
      <w:lvlText w:val="%1.%2.%3."/>
      <w:lvlJc w:val="left"/>
      <w:pPr>
        <w:ind w:left="3198"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1850FC"/>
    <w:multiLevelType w:val="hybridMultilevel"/>
    <w:tmpl w:val="198E9C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64460264">
    <w:abstractNumId w:val="8"/>
  </w:num>
  <w:num w:numId="2" w16cid:durableId="1251886130">
    <w:abstractNumId w:val="23"/>
  </w:num>
  <w:num w:numId="3" w16cid:durableId="1596016411">
    <w:abstractNumId w:val="11"/>
  </w:num>
  <w:num w:numId="4" w16cid:durableId="1561018935">
    <w:abstractNumId w:val="0"/>
  </w:num>
  <w:num w:numId="5" w16cid:durableId="1169096736">
    <w:abstractNumId w:val="4"/>
  </w:num>
  <w:num w:numId="6" w16cid:durableId="290479389">
    <w:abstractNumId w:val="13"/>
  </w:num>
  <w:num w:numId="7" w16cid:durableId="998194144">
    <w:abstractNumId w:val="12"/>
  </w:num>
  <w:num w:numId="8" w16cid:durableId="21059511">
    <w:abstractNumId w:val="9"/>
  </w:num>
  <w:num w:numId="9" w16cid:durableId="747843244">
    <w:abstractNumId w:val="19"/>
  </w:num>
  <w:num w:numId="10" w16cid:durableId="776297507">
    <w:abstractNumId w:val="16"/>
  </w:num>
  <w:num w:numId="11" w16cid:durableId="1406339807">
    <w:abstractNumId w:val="15"/>
  </w:num>
  <w:num w:numId="12" w16cid:durableId="1078792026">
    <w:abstractNumId w:val="7"/>
  </w:num>
  <w:num w:numId="13" w16cid:durableId="1648512269">
    <w:abstractNumId w:val="5"/>
  </w:num>
  <w:num w:numId="14" w16cid:durableId="1372072029">
    <w:abstractNumId w:val="10"/>
  </w:num>
  <w:num w:numId="15" w16cid:durableId="1569536944">
    <w:abstractNumId w:val="10"/>
    <w:lvlOverride w:ilvl="0">
      <w:startOverride w:val="1"/>
    </w:lvlOverride>
    <w:lvlOverride w:ilvl="1">
      <w:startOverride w:val="1"/>
    </w:lvlOverride>
    <w:lvlOverride w:ilvl="2">
      <w:startOverride w:val="1"/>
    </w:lvlOverride>
  </w:num>
  <w:num w:numId="16" w16cid:durableId="1560046017">
    <w:abstractNumId w:val="10"/>
  </w:num>
  <w:num w:numId="17" w16cid:durableId="1399480590">
    <w:abstractNumId w:val="24"/>
  </w:num>
  <w:num w:numId="18" w16cid:durableId="1793279753">
    <w:abstractNumId w:val="22"/>
  </w:num>
  <w:num w:numId="19" w16cid:durableId="1162426106">
    <w:abstractNumId w:val="26"/>
  </w:num>
  <w:num w:numId="20" w16cid:durableId="1092552639">
    <w:abstractNumId w:val="20"/>
  </w:num>
  <w:num w:numId="21" w16cid:durableId="1736735501">
    <w:abstractNumId w:val="3"/>
  </w:num>
  <w:num w:numId="22" w16cid:durableId="1006136419">
    <w:abstractNumId w:val="1"/>
  </w:num>
  <w:num w:numId="23" w16cid:durableId="507838896">
    <w:abstractNumId w:val="2"/>
  </w:num>
  <w:num w:numId="24" w16cid:durableId="1789814387">
    <w:abstractNumId w:val="14"/>
  </w:num>
  <w:num w:numId="25" w16cid:durableId="964709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42441644">
    <w:abstractNumId w:val="22"/>
  </w:num>
  <w:num w:numId="27" w16cid:durableId="1600941942">
    <w:abstractNumId w:val="22"/>
  </w:num>
  <w:num w:numId="28" w16cid:durableId="133275632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53482146">
    <w:abstractNumId w:val="22"/>
  </w:num>
  <w:num w:numId="30" w16cid:durableId="6958830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548228199">
    <w:abstractNumId w:val="22"/>
  </w:num>
  <w:num w:numId="32" w16cid:durableId="1499610836">
    <w:abstractNumId w:val="22"/>
  </w:num>
  <w:num w:numId="33" w16cid:durableId="646975774">
    <w:abstractNumId w:val="22"/>
  </w:num>
  <w:num w:numId="34" w16cid:durableId="466044123">
    <w:abstractNumId w:val="22"/>
  </w:num>
  <w:num w:numId="35" w16cid:durableId="2029869925">
    <w:abstractNumId w:val="22"/>
  </w:num>
  <w:num w:numId="36" w16cid:durableId="183322633">
    <w:abstractNumId w:val="22"/>
  </w:num>
  <w:num w:numId="37" w16cid:durableId="466049441">
    <w:abstractNumId w:val="22"/>
  </w:num>
  <w:num w:numId="38" w16cid:durableId="1899365851">
    <w:abstractNumId w:val="25"/>
  </w:num>
  <w:num w:numId="39" w16cid:durableId="1099250510">
    <w:abstractNumId w:val="6"/>
  </w:num>
  <w:num w:numId="40" w16cid:durableId="1678731548">
    <w:abstractNumId w:val="18"/>
  </w:num>
  <w:num w:numId="41" w16cid:durableId="1778334430">
    <w:abstractNumId w:val="17"/>
  </w:num>
  <w:num w:numId="42" w16cid:durableId="157928712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25B76"/>
    <w:rsid w:val="00026621"/>
    <w:rsid w:val="00034DA4"/>
    <w:rsid w:val="000517BB"/>
    <w:rsid w:val="000757FF"/>
    <w:rsid w:val="00081009"/>
    <w:rsid w:val="00081560"/>
    <w:rsid w:val="00092996"/>
    <w:rsid w:val="000A1265"/>
    <w:rsid w:val="000A48C4"/>
    <w:rsid w:val="000D09A0"/>
    <w:rsid w:val="000D5E09"/>
    <w:rsid w:val="000E0CC7"/>
    <w:rsid w:val="000E4E28"/>
    <w:rsid w:val="001526D9"/>
    <w:rsid w:val="0016080C"/>
    <w:rsid w:val="00166012"/>
    <w:rsid w:val="00171619"/>
    <w:rsid w:val="0017435A"/>
    <w:rsid w:val="00176DFC"/>
    <w:rsid w:val="001834C3"/>
    <w:rsid w:val="001879A7"/>
    <w:rsid w:val="00190B84"/>
    <w:rsid w:val="00194057"/>
    <w:rsid w:val="001944D1"/>
    <w:rsid w:val="00196EF2"/>
    <w:rsid w:val="001B59CD"/>
    <w:rsid w:val="001C1B5D"/>
    <w:rsid w:val="001C2AB4"/>
    <w:rsid w:val="001C2FB3"/>
    <w:rsid w:val="001C4EA4"/>
    <w:rsid w:val="001D46C8"/>
    <w:rsid w:val="001D76E5"/>
    <w:rsid w:val="001E62CD"/>
    <w:rsid w:val="001F59B3"/>
    <w:rsid w:val="0020605D"/>
    <w:rsid w:val="00211EDC"/>
    <w:rsid w:val="00233551"/>
    <w:rsid w:val="00235CE3"/>
    <w:rsid w:val="00243A8B"/>
    <w:rsid w:val="00244EAD"/>
    <w:rsid w:val="0025047A"/>
    <w:rsid w:val="00252BBA"/>
    <w:rsid w:val="00266CBA"/>
    <w:rsid w:val="002904CE"/>
    <w:rsid w:val="002B3E99"/>
    <w:rsid w:val="002B40D3"/>
    <w:rsid w:val="002E7D6F"/>
    <w:rsid w:val="003233AB"/>
    <w:rsid w:val="00327D49"/>
    <w:rsid w:val="00336DDD"/>
    <w:rsid w:val="00336EA6"/>
    <w:rsid w:val="0034192C"/>
    <w:rsid w:val="00350B2E"/>
    <w:rsid w:val="0035422F"/>
    <w:rsid w:val="00354D98"/>
    <w:rsid w:val="00382E79"/>
    <w:rsid w:val="003A50C3"/>
    <w:rsid w:val="003B79CA"/>
    <w:rsid w:val="003D1A96"/>
    <w:rsid w:val="003F0CA1"/>
    <w:rsid w:val="003F152D"/>
    <w:rsid w:val="003F24BC"/>
    <w:rsid w:val="00423E85"/>
    <w:rsid w:val="00436FA0"/>
    <w:rsid w:val="00461979"/>
    <w:rsid w:val="0048445F"/>
    <w:rsid w:val="00486BD4"/>
    <w:rsid w:val="004871CB"/>
    <w:rsid w:val="00490EAC"/>
    <w:rsid w:val="004B3999"/>
    <w:rsid w:val="004D3460"/>
    <w:rsid w:val="004D566D"/>
    <w:rsid w:val="00506743"/>
    <w:rsid w:val="00507BAD"/>
    <w:rsid w:val="00514164"/>
    <w:rsid w:val="00521A79"/>
    <w:rsid w:val="0053518B"/>
    <w:rsid w:val="00535F70"/>
    <w:rsid w:val="00556E52"/>
    <w:rsid w:val="00596B3C"/>
    <w:rsid w:val="005A1CF6"/>
    <w:rsid w:val="005A2B04"/>
    <w:rsid w:val="005B3AB6"/>
    <w:rsid w:val="005C420C"/>
    <w:rsid w:val="005D4C0B"/>
    <w:rsid w:val="005D549B"/>
    <w:rsid w:val="005F110C"/>
    <w:rsid w:val="006056D2"/>
    <w:rsid w:val="006311F9"/>
    <w:rsid w:val="006403BD"/>
    <w:rsid w:val="00642BA6"/>
    <w:rsid w:val="00653A94"/>
    <w:rsid w:val="0066672A"/>
    <w:rsid w:val="00670B3B"/>
    <w:rsid w:val="00673D42"/>
    <w:rsid w:val="0067645E"/>
    <w:rsid w:val="00692D10"/>
    <w:rsid w:val="006A30D9"/>
    <w:rsid w:val="006A4C97"/>
    <w:rsid w:val="006A56B3"/>
    <w:rsid w:val="006B02A7"/>
    <w:rsid w:val="006B24A2"/>
    <w:rsid w:val="006D22AA"/>
    <w:rsid w:val="006D3B11"/>
    <w:rsid w:val="006D7B06"/>
    <w:rsid w:val="006E42C4"/>
    <w:rsid w:val="006F13B4"/>
    <w:rsid w:val="006F2CB9"/>
    <w:rsid w:val="006F4E2B"/>
    <w:rsid w:val="0070439E"/>
    <w:rsid w:val="007077DF"/>
    <w:rsid w:val="00711904"/>
    <w:rsid w:val="00727AE8"/>
    <w:rsid w:val="00750978"/>
    <w:rsid w:val="00751A0E"/>
    <w:rsid w:val="00771DE1"/>
    <w:rsid w:val="00781C51"/>
    <w:rsid w:val="00783DCC"/>
    <w:rsid w:val="00793FDB"/>
    <w:rsid w:val="00795A39"/>
    <w:rsid w:val="007B76BF"/>
    <w:rsid w:val="007E0007"/>
    <w:rsid w:val="007E04F8"/>
    <w:rsid w:val="007E0C1A"/>
    <w:rsid w:val="007E7C6C"/>
    <w:rsid w:val="00811669"/>
    <w:rsid w:val="00821D63"/>
    <w:rsid w:val="00834548"/>
    <w:rsid w:val="008414E8"/>
    <w:rsid w:val="00853F7B"/>
    <w:rsid w:val="008544B8"/>
    <w:rsid w:val="00856DFC"/>
    <w:rsid w:val="008607A8"/>
    <w:rsid w:val="00863C43"/>
    <w:rsid w:val="00877054"/>
    <w:rsid w:val="00881DD5"/>
    <w:rsid w:val="008958B1"/>
    <w:rsid w:val="008A283D"/>
    <w:rsid w:val="008A30B1"/>
    <w:rsid w:val="008C16EB"/>
    <w:rsid w:val="008E0EE0"/>
    <w:rsid w:val="008E30AB"/>
    <w:rsid w:val="00914BA4"/>
    <w:rsid w:val="00920246"/>
    <w:rsid w:val="00920B7C"/>
    <w:rsid w:val="009408EA"/>
    <w:rsid w:val="009450AB"/>
    <w:rsid w:val="00947B4F"/>
    <w:rsid w:val="00960142"/>
    <w:rsid w:val="0096740E"/>
    <w:rsid w:val="00977178"/>
    <w:rsid w:val="009A03FE"/>
    <w:rsid w:val="009A052D"/>
    <w:rsid w:val="009A2FA9"/>
    <w:rsid w:val="009A684C"/>
    <w:rsid w:val="009B2037"/>
    <w:rsid w:val="009E729C"/>
    <w:rsid w:val="009F38E3"/>
    <w:rsid w:val="009F6F17"/>
    <w:rsid w:val="00A365F1"/>
    <w:rsid w:val="00A416DD"/>
    <w:rsid w:val="00A725E6"/>
    <w:rsid w:val="00A75783"/>
    <w:rsid w:val="00A83514"/>
    <w:rsid w:val="00A976F0"/>
    <w:rsid w:val="00AC1FF0"/>
    <w:rsid w:val="00B026E1"/>
    <w:rsid w:val="00B04626"/>
    <w:rsid w:val="00B077AF"/>
    <w:rsid w:val="00B10175"/>
    <w:rsid w:val="00B34BF5"/>
    <w:rsid w:val="00B448AD"/>
    <w:rsid w:val="00B51192"/>
    <w:rsid w:val="00B519F0"/>
    <w:rsid w:val="00B52802"/>
    <w:rsid w:val="00B56FB6"/>
    <w:rsid w:val="00B60548"/>
    <w:rsid w:val="00B745F2"/>
    <w:rsid w:val="00B94906"/>
    <w:rsid w:val="00B97395"/>
    <w:rsid w:val="00BB12E6"/>
    <w:rsid w:val="00BB470D"/>
    <w:rsid w:val="00BD4B50"/>
    <w:rsid w:val="00C03714"/>
    <w:rsid w:val="00C10A65"/>
    <w:rsid w:val="00C20B13"/>
    <w:rsid w:val="00C235D4"/>
    <w:rsid w:val="00C23992"/>
    <w:rsid w:val="00C24237"/>
    <w:rsid w:val="00C308C3"/>
    <w:rsid w:val="00C443D1"/>
    <w:rsid w:val="00C455F2"/>
    <w:rsid w:val="00C84740"/>
    <w:rsid w:val="00C9222E"/>
    <w:rsid w:val="00C92760"/>
    <w:rsid w:val="00C94353"/>
    <w:rsid w:val="00CA0022"/>
    <w:rsid w:val="00CA0785"/>
    <w:rsid w:val="00CA1B05"/>
    <w:rsid w:val="00CA359C"/>
    <w:rsid w:val="00CB289E"/>
    <w:rsid w:val="00CC3CB9"/>
    <w:rsid w:val="00CD28CC"/>
    <w:rsid w:val="00CE2B01"/>
    <w:rsid w:val="00CF01CC"/>
    <w:rsid w:val="00D04008"/>
    <w:rsid w:val="00D34BAD"/>
    <w:rsid w:val="00D355ED"/>
    <w:rsid w:val="00D358D5"/>
    <w:rsid w:val="00D76D77"/>
    <w:rsid w:val="00D92F3B"/>
    <w:rsid w:val="00D936E1"/>
    <w:rsid w:val="00D952D8"/>
    <w:rsid w:val="00D971A1"/>
    <w:rsid w:val="00DA0FCE"/>
    <w:rsid w:val="00DA43A0"/>
    <w:rsid w:val="00DB67DA"/>
    <w:rsid w:val="00DC17B0"/>
    <w:rsid w:val="00DF01CE"/>
    <w:rsid w:val="00E11B5A"/>
    <w:rsid w:val="00E11EB7"/>
    <w:rsid w:val="00E20C8B"/>
    <w:rsid w:val="00E462D0"/>
    <w:rsid w:val="00E56DFE"/>
    <w:rsid w:val="00E62AD5"/>
    <w:rsid w:val="00E769EB"/>
    <w:rsid w:val="00E76BE8"/>
    <w:rsid w:val="00E76D35"/>
    <w:rsid w:val="00E87B75"/>
    <w:rsid w:val="00E94CF7"/>
    <w:rsid w:val="00EA4786"/>
    <w:rsid w:val="00EA6976"/>
    <w:rsid w:val="00EA710F"/>
    <w:rsid w:val="00EC4EA9"/>
    <w:rsid w:val="00EC62F6"/>
    <w:rsid w:val="00EC771B"/>
    <w:rsid w:val="00ED1546"/>
    <w:rsid w:val="00ED3731"/>
    <w:rsid w:val="00EF14BC"/>
    <w:rsid w:val="00F06610"/>
    <w:rsid w:val="00F249DB"/>
    <w:rsid w:val="00F252A7"/>
    <w:rsid w:val="00F30F01"/>
    <w:rsid w:val="00F31343"/>
    <w:rsid w:val="00F519E5"/>
    <w:rsid w:val="00F55627"/>
    <w:rsid w:val="00F77FBA"/>
    <w:rsid w:val="00F85354"/>
    <w:rsid w:val="00FA0670"/>
    <w:rsid w:val="00FA21E3"/>
    <w:rsid w:val="00FA4A4E"/>
    <w:rsid w:val="00FA7395"/>
    <w:rsid w:val="00FA7727"/>
    <w:rsid w:val="00FC3D7F"/>
    <w:rsid w:val="00FC4A7B"/>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Normal"/>
    <w:next w:val="Normal"/>
    <w:uiPriority w:val="39"/>
    <w:unhideWhenUsed/>
    <w:rsid w:val="00914BA4"/>
    <w:pPr>
      <w:tabs>
        <w:tab w:val="right" w:leader="dot" w:pos="9060"/>
      </w:tabs>
    </w:pPr>
    <w:rPr>
      <w:rFonts w:cs="Arial"/>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rsid w:val="00E11B5A"/>
    <w:pPr>
      <w:jc w:val="center"/>
    </w:pPr>
    <w:rPr>
      <w:rFonts w:cs="Arial"/>
      <w:i/>
    </w:rPr>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914BA4"/>
    <w:pPr>
      <w:spacing w:after="0" w:line="276" w:lineRule="auto"/>
      <w:ind w:left="-113" w:right="-215"/>
      <w:jc w:val="center"/>
    </w:pPr>
    <w:rPr>
      <w:rFonts w:ascii="Calibri" w:hAnsi="Calibri" w:cs="UnitOT-Light"/>
      <w:iCs/>
      <w:color w:val="595959" w:themeColor="text1" w:themeTint="A6"/>
      <w:sz w:val="19"/>
      <w:szCs w:val="18"/>
      <w:lang w:val="en-US"/>
    </w:rPr>
  </w:style>
  <w:style w:type="paragraph" w:customStyle="1" w:styleId="CuadroCmoestudiaryReferencias">
    <w:name w:val="Cuadro «Cómo estudiar» y Referencias"/>
    <w:basedOn w:val="Normal"/>
    <w:uiPriority w:val="10"/>
    <w:qFormat/>
    <w:rsid w:val="006E42C4"/>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paragraph" w:styleId="Tabladeilustraciones">
    <w:name w:val="table of figures"/>
    <w:basedOn w:val="Normal"/>
    <w:next w:val="Normal"/>
    <w:uiPriority w:val="99"/>
    <w:unhideWhenUsed/>
    <w:rsid w:val="00166012"/>
  </w:style>
  <w:style w:type="table" w:styleId="Tablaconcuadrcula4-nfasis1">
    <w:name w:val="Grid Table 4 Accent 1"/>
    <w:basedOn w:val="Tablanormal"/>
    <w:uiPriority w:val="49"/>
    <w:rsid w:val="00642BA6"/>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numbering" w:customStyle="1" w:styleId="VietasUNIR">
    <w:name w:val="ViñetasUNIR"/>
    <w:basedOn w:val="Sinlista"/>
    <w:uiPriority w:val="99"/>
    <w:rsid w:val="001F59B3"/>
    <w:pPr>
      <w:numPr>
        <w:numId w:val="41"/>
      </w:numPr>
    </w:pPr>
  </w:style>
  <w:style w:type="paragraph" w:styleId="Bibliografa">
    <w:name w:val="Bibliography"/>
    <w:basedOn w:val="Normal"/>
    <w:next w:val="Normal"/>
    <w:uiPriority w:val="37"/>
    <w:semiHidden/>
    <w:unhideWhenUsed/>
    <w:rsid w:val="00F519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8" Type="http://schemas.openxmlformats.org/officeDocument/2006/relationships/image" Target="media/image4.png"/><Relationship Id="rId1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Dor81</b:Tag>
    <b:SourceType>JournalArticle</b:SourceType>
    <b:Guid>{D7C468B5-5E32-4254-9330-6DB2DDB01037}</b:Guid>
    <b:Title>There's a S.M.A.R.T. way to write management's goals and objectives</b:Title>
    <b:Year>1981</b:Year>
    <b:Author>
      <b:Author>
        <b:NameList>
          <b:Person>
            <b:Last>Doran</b:Last>
            <b:First>G.</b:First>
            <b:Middle>T.</b:Middle>
          </b:Person>
        </b:NameList>
      </b:Author>
    </b:Author>
    <b:JournalName>Management Review (AMA FORUM)</b:JournalName>
    <b:Pages>35-36</b:Pages>
    <b:Volume>70</b:Volume>
    <b:RefOrder>1</b:RefOrder>
  </b:Source>
</b:Sources>
</file>

<file path=customXml/item2.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7c1adeb-3674-457c-b08c-8a73f31b6e23">
      <Terms xmlns="http://schemas.microsoft.com/office/infopath/2007/PartnerControls"/>
    </lcf76f155ced4ddcb4097134ff3c332f>
    <TaxCatchAll xmlns="0a70e875-3d35-4be2-921f-7117c31bab9b" xsi:nil="true"/>
    <_Flow_SignoffStatus xmlns="27c1adeb-3674-457c-b08c-8a73f31b6e23" xsi:nil="true"/>
  </documentManagement>
</p:properties>
</file>

<file path=customXml/itemProps1.xml><?xml version="1.0" encoding="utf-8"?>
<ds:datastoreItem xmlns:ds="http://schemas.openxmlformats.org/officeDocument/2006/customXml" ds:itemID="{3CBD5336-2C2D-4DA8-8EBD-C205328B54AF}">
  <ds:schemaRefs>
    <ds:schemaRef ds:uri="http://schemas.openxmlformats.org/officeDocument/2006/bibliography"/>
  </ds:schemaRefs>
</ds:datastoreItem>
</file>

<file path=customXml/itemProps2.xml><?xml version="1.0" encoding="utf-8"?>
<ds:datastoreItem xmlns:ds="http://schemas.openxmlformats.org/officeDocument/2006/customXml" ds:itemID="{F2324DC7-7128-4CF0-99CD-65AEE7D2B04B}"/>
</file>

<file path=customXml/itemProps3.xml><?xml version="1.0" encoding="utf-8"?>
<ds:datastoreItem xmlns:ds="http://schemas.openxmlformats.org/officeDocument/2006/customXml" ds:itemID="{BE74C307-52FE-48C3-92C2-E1552852BAAA}">
  <ds:schemaRefs>
    <ds:schemaRef ds:uri="http://schemas.microsoft.com/sharepoint/v3/contenttype/forms"/>
  </ds:schemaRefs>
</ds:datastoreItem>
</file>

<file path=customXml/itemProps4.xml><?xml version="1.0" encoding="utf-8"?>
<ds:datastoreItem xmlns:ds="http://schemas.openxmlformats.org/officeDocument/2006/customXml" ds:itemID="{DB456AF2-52F5-44D8-AEC6-B5F9D96C377E}">
  <ds:schemaRefs>
    <ds:schemaRef ds:uri="http://schemas.microsoft.com/office/2006/metadata/properties"/>
    <ds:schemaRef ds:uri="http://schemas.microsoft.com/office/infopath/2007/PartnerControls"/>
    <ds:schemaRef ds:uri="53025b5b-4dce-4802-837c-8ee1e8c6a59a"/>
    <ds:schemaRef ds:uri="23c1763f-be2a-40ae-b566-a2607c8e0f0e"/>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23</Pages>
  <Words>3544</Words>
  <Characters>19492</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22991</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almudena ruiz-iniesta</cp:lastModifiedBy>
  <cp:revision>36</cp:revision>
  <cp:lastPrinted>2019-08-05T13:11:00Z</cp:lastPrinted>
  <dcterms:created xsi:type="dcterms:W3CDTF">2024-02-08T08:42:00Z</dcterms:created>
  <dcterms:modified xsi:type="dcterms:W3CDTF">2024-03-06T11:17:00Z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