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rPr>
          <w:rFonts w:ascii="Arial" w:cs="Arial" w:eastAsia="Arial" w:hAnsi="Arial"/>
          <w:sz w:val="24"/>
          <w:szCs w:val="24"/>
        </w:rPr>
        <w:t xml:space="preserve">Kanda, Purav	400593831</w:t>
      </w:r>
    </w:p>
    <w:p>
      <w:pPr>
        <w:spacing w:line="480" w:lineRule="auto"/>
        <w:ind w:firstLine="720"/>
      </w:pPr>
      <w:r>
        <w:rPr>
          <w:rFonts w:ascii="Arial" w:cs="Arial" w:eastAsia="Arial" w:hAnsi="Arial"/>
          <w:sz w:val="24"/>
          <w:szCs w:val="24"/>
        </w:rPr>
        <w:t xml:space="preserve">Throughout this course, my engagement with the material grew in direct proportion to how actively I had to work with it. Looking back at my three questionnaires, a clear pattern stands out: the moments where the content clicked were almost always the moments where I was solving a problem, not just reading about one.</w:t>
      </w:r>
    </w:p>
    <w:p>
      <w:pPr>
        <w:spacing w:line="480" w:lineRule="auto"/>
        <w:ind w:firstLine="720"/>
      </w:pPr>
      <w:r>
        <w:rPr>
          <w:rFonts w:ascii="Arial" w:cs="Arial" w:eastAsia="Arial" w:hAnsi="Arial"/>
          <w:sz w:val="24"/>
          <w:szCs w:val="24"/>
        </w:rPr>
        <w:t xml:space="preserve">I was most engaged during the units on inflation and real versus nominal values in the early weeks. The idea that a pay raise can actually leave you worse off — if prices rise faster than your income — was not something I had thought about carefully before. It connected immediately to news coverage I had seen about Canadians struggling financially despite low unemployment numbers. Salaries were climbing, yet rising costs eroded those gains entirely. Learning to use tools like the CPI and GDP deflator gave me a way to cut through surface-level economic headlines and ask better questions. That kind of practical insight kept me genuinely interested.</w:t>
      </w:r>
    </w:p>
    <w:p>
      <w:pPr>
        <w:spacing w:line="480" w:lineRule="auto"/>
        <w:ind w:firstLine="720"/>
      </w:pPr>
      <w:r>
        <w:rPr>
          <w:rFonts w:ascii="Arial" w:cs="Arial" w:eastAsia="Arial" w:hAnsi="Arial"/>
          <w:sz w:val="24"/>
          <w:szCs w:val="24"/>
        </w:rPr>
        <w:t xml:space="preserve">The multiplier effect in Chapter 8 was another high point. Tracing how a single dollar of spending ripples through the economy — becoming income for one person, then spending for another — made the logic behind government stimulus feel real for the first time. When I applied that framework to the COVID relief payments, the policy decisions made far more sense. It was one of those rare moments where a concept from a course directly reframed something I thought I already understood.</w:t>
      </w:r>
    </w:p>
    <w:p>
      <w:pPr>
        <w:spacing w:line="480" w:lineRule="auto"/>
        <w:ind w:firstLine="720"/>
      </w:pPr>
      <w:r>
        <w:rPr>
          <w:rFonts w:ascii="Arial" w:cs="Arial" w:eastAsia="Arial" w:hAnsi="Arial"/>
          <w:sz w:val="24"/>
          <w:szCs w:val="24"/>
        </w:rPr>
        <w:t xml:space="preserve">The biggest barrier to my learning was pacing. Because this was a compressed online course, the material moved quickly, and passive engagement — just watching videos or skimming the textbook — was not enough to keep up. What helped most consistently across all three units was the MyLab homework. Being forced to work through T-account calculations, equilibrium GDP problems, and money market diagrams, and then receiving immediate feedback on mistakes, was far more effective than any amount of re-reading. Errors were corrected while the reasoning was still fresh, which prevented small misunderstandings from compounding into larger gaps.</w:t>
      </w:r>
    </w:p>
    <w:p>
      <w:pPr>
        <w:spacing w:line="480" w:lineRule="auto"/>
        <w:ind w:firstLine="720"/>
      </w:pPr>
      <w:r>
        <w:rPr>
          <w:rFonts w:ascii="Arial" w:cs="Arial" w:eastAsia="Arial" w:hAnsi="Arial"/>
          <w:sz w:val="24"/>
          <w:szCs w:val="24"/>
        </w:rPr>
        <w:t xml:space="preserve">Going forward, I would lean into active practice even earlier in each unit rather than waiting until quiz preparation. The times I struggled were almost always tied to trying to absorb concepts passively first and then scrambling to apply them under time pressure. Starting with the problems and using the textbook and videos as reference material when I got stuck proved to be a much more efficient approach.</w:t>
      </w:r>
    </w:p>
    <w:p>
      <w:pPr>
        <w:spacing w:line="480" w:lineRule="auto"/>
        <w:ind w:firstLine="720"/>
      </w:pPr>
      <w:r>
        <w:rPr>
          <w:rFonts w:ascii="Arial" w:cs="Arial" w:eastAsia="Arial" w:hAnsi="Arial"/>
          <w:sz w:val="24"/>
          <w:szCs w:val="24"/>
        </w:rPr>
        <w:t xml:space="preserve">The instructor structured the course in a way that made self-directed learning manageable. The skill videos organized by topic were more useful than I expected — being able to jump directly to a specific concept during review saved real time. Peer discussion posts added some value early on, though their usefulness tapered as the course progressed and posts became more formulaic. Overall, this course shifted how I approach economic news and policy discussions, and the habits I built around active problem-solving are ones I plan to carry forward.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right"/>
    </w:pPr>
    <w:r>
      <w:rPr>
        <w:rFonts w:ascii="Arial" w:cs="Arial" w:eastAsia="Arial" w:hAnsi="Arial"/>
        <w:sz w:val="24"/>
        <w:szCs w:val="24"/>
      </w:rPr>
      <w:t xml:space="preserve">Kanda, Purav	400593831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2026-06-17T16:49:32.897Z</dcterms:created>
  <dcterms:modified xsi:type="dcterms:W3CDTF">2026-06-17T16:49:32.897Z</dcterms:modified>
</cp:coreProperties>
</file>

<file path=docProps/custom.xml><?xml version="1.0" encoding="utf-8"?>
<Properties xmlns="http://schemas.openxmlformats.org/officeDocument/2006/custom-properties" xmlns:vt="http://schemas.openxmlformats.org/officeDocument/2006/docPropsVTypes"/>
</file>