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B0A5A" w14:textId="5037D3DD" w:rsidR="00E02FF6" w:rsidRDefault="6ECEC9F0">
      <w:r w:rsidRPr="78D15848">
        <w:rPr>
          <w:rFonts w:ascii="Calibri" w:eastAsia="Calibri" w:hAnsi="Calibri" w:cs="Calibri"/>
          <w:color w:val="374151"/>
          <w:sz w:val="24"/>
          <w:szCs w:val="24"/>
        </w:rPr>
        <w:t>Introduction The purpose of this network security policy is to outline the guidelines and procedures for maintaining a secure and protected network environment. This policy applies to all employees, contractors, and visitors who have access to the company network.</w:t>
      </w:r>
    </w:p>
    <w:p w14:paraId="54EB9C44" w14:textId="6074FC50" w:rsidR="00E02FF6" w:rsidRDefault="6ECEC9F0">
      <w:r w:rsidRPr="78D15848">
        <w:rPr>
          <w:rFonts w:ascii="Calibri" w:eastAsia="Calibri" w:hAnsi="Calibri" w:cs="Calibri"/>
          <w:color w:val="374151"/>
          <w:sz w:val="24"/>
          <w:szCs w:val="24"/>
        </w:rPr>
        <w:t>Scope This policy applies to all company-owned devices, networks, and information systems, including but not limited to desktops, laptops, servers, mobile devices, and cloud services.</w:t>
      </w:r>
    </w:p>
    <w:p w14:paraId="2C6D50D4" w14:textId="053E766B" w:rsidR="00E02FF6" w:rsidRDefault="6ECEC9F0">
      <w:r w:rsidRPr="78D15848">
        <w:rPr>
          <w:rFonts w:ascii="Calibri" w:eastAsia="Calibri" w:hAnsi="Calibri" w:cs="Calibri"/>
          <w:color w:val="374151"/>
          <w:sz w:val="24"/>
          <w:szCs w:val="24"/>
        </w:rPr>
        <w:t>Responsibilities The following are the responsibilities of all employees, contractors, and visitors:</w:t>
      </w:r>
    </w:p>
    <w:p w14:paraId="53A31CB5" w14:textId="6250470E"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Protect their login credentials and ensure that they are kept confidential.</w:t>
      </w:r>
    </w:p>
    <w:p w14:paraId="7AC47B07" w14:textId="3EE546B3"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Report any suspected security breaches to the IT department immediately.</w:t>
      </w:r>
    </w:p>
    <w:p w14:paraId="7A0EAC85" w14:textId="399586CA"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Ensure that their devices are updated with the latest security patches and software updates.</w:t>
      </w:r>
    </w:p>
    <w:p w14:paraId="4CC149BC" w14:textId="4B16ED99"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Follow the guidelines and procedures outlined in this policy.</w:t>
      </w:r>
    </w:p>
    <w:p w14:paraId="777044B3" w14:textId="2D2028BF" w:rsidR="00E02FF6" w:rsidRDefault="6ECEC9F0">
      <w:r w:rsidRPr="78D15848">
        <w:rPr>
          <w:rFonts w:ascii="Calibri" w:eastAsia="Calibri" w:hAnsi="Calibri" w:cs="Calibri"/>
          <w:color w:val="374151"/>
          <w:sz w:val="24"/>
          <w:szCs w:val="24"/>
        </w:rPr>
        <w:t>Access Control Access to company resources should be restricted to authorized personnel only. Access control measures should be implemented to ensure that only authorized users can access sensitive data and resources. This includes:</w:t>
      </w:r>
    </w:p>
    <w:p w14:paraId="0895CFD9" w14:textId="75B56A27"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Password complexity requirements, such as the use of upper and lowercase letters, symbols, and numbers.</w:t>
      </w:r>
    </w:p>
    <w:p w14:paraId="14433D3D" w14:textId="395A16C4"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Two-factor authentication for access to sensitive data and resources.</w:t>
      </w:r>
    </w:p>
    <w:p w14:paraId="460FE5B6" w14:textId="4C7A1B01"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Limiting access to data and resources on a need-to-know basis.</w:t>
      </w:r>
    </w:p>
    <w:p w14:paraId="19CE5E51" w14:textId="1BE65DDE"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Regular review of access control policies and procedures.</w:t>
      </w:r>
    </w:p>
    <w:p w14:paraId="51573738" w14:textId="0D63E8B6" w:rsidR="00E02FF6" w:rsidRDefault="6ECEC9F0">
      <w:r w:rsidRPr="78D15848">
        <w:rPr>
          <w:rFonts w:ascii="Calibri" w:eastAsia="Calibri" w:hAnsi="Calibri" w:cs="Calibri"/>
          <w:color w:val="374151"/>
          <w:sz w:val="24"/>
          <w:szCs w:val="24"/>
        </w:rPr>
        <w:t>Network Security The company network should be protected from unauthorized access and malicious activities. The following measures should be implemented to ensure network security:</w:t>
      </w:r>
    </w:p>
    <w:p w14:paraId="33FB9541" w14:textId="2973A680"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Firewall protection should be implemented to control incoming and outgoing network traffic.</w:t>
      </w:r>
    </w:p>
    <w:p w14:paraId="6E5BB508" w14:textId="502FA7E8"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Intrusion detection and prevention systems should be implemented to detect and prevent malicious activities.</w:t>
      </w:r>
    </w:p>
    <w:p w14:paraId="526FB644" w14:textId="1ACC81C7"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Regular vulnerability assessments and penetration testing should be performed to identify vulnerabilities and potential security risks.</w:t>
      </w:r>
    </w:p>
    <w:p w14:paraId="3D4A156F" w14:textId="127BA2B2"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Wireless network security measures, such as encryption and access control, should be implemented.</w:t>
      </w:r>
    </w:p>
    <w:p w14:paraId="6FCB4463" w14:textId="157F043C" w:rsidR="00E02FF6" w:rsidRDefault="6ECEC9F0">
      <w:r w:rsidRPr="78D15848">
        <w:rPr>
          <w:rFonts w:ascii="Calibri" w:eastAsia="Calibri" w:hAnsi="Calibri" w:cs="Calibri"/>
          <w:color w:val="374151"/>
          <w:sz w:val="24"/>
          <w:szCs w:val="24"/>
        </w:rPr>
        <w:t>Data Protection The company's data should be protected from unauthorized access, modification, or destruction. The following measures should be implemented to ensure data protection:</w:t>
      </w:r>
    </w:p>
    <w:p w14:paraId="669AC077" w14:textId="0A0BE41B"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Encryption should be used for sensitive data, both at rest and in transit.</w:t>
      </w:r>
    </w:p>
    <w:p w14:paraId="31781D3F" w14:textId="3F893742"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Regular backups of data should be performed to ensure data availability in case of data loss or corruption.</w:t>
      </w:r>
    </w:p>
    <w:p w14:paraId="5B513A0B" w14:textId="40C373EB"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Access to data should be restricted on a need-to-know basis.</w:t>
      </w:r>
    </w:p>
    <w:p w14:paraId="5B910967" w14:textId="53DA1059"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Data classification should be implemented to ensure that data is appropriately protected based on its sensitivity level.</w:t>
      </w:r>
    </w:p>
    <w:p w14:paraId="546958C4" w14:textId="6327D3E0" w:rsidR="00E02FF6" w:rsidRDefault="6ECEC9F0">
      <w:r w:rsidRPr="78D15848">
        <w:rPr>
          <w:rFonts w:ascii="Calibri" w:eastAsia="Calibri" w:hAnsi="Calibri" w:cs="Calibri"/>
          <w:color w:val="374151"/>
          <w:sz w:val="24"/>
          <w:szCs w:val="24"/>
        </w:rPr>
        <w:t>Incident Response The company should have an incident response plan in place to respond to security incidents promptly. The following procedures should be followed:</w:t>
      </w:r>
    </w:p>
    <w:p w14:paraId="74BC66D8" w14:textId="481504F2"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All security incidents should be reported to the IT department immediately.</w:t>
      </w:r>
    </w:p>
    <w:p w14:paraId="3C0CB89A" w14:textId="02C92254"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The incident response team should be activated to contain and investigate the incident.</w:t>
      </w:r>
    </w:p>
    <w:p w14:paraId="7C24B58F" w14:textId="68D82B44" w:rsidR="00E02FF6" w:rsidRDefault="6ECEC9F0" w:rsidP="78D15848">
      <w:pPr>
        <w:pStyle w:val="ListParagraph"/>
        <w:numPr>
          <w:ilvl w:val="0"/>
          <w:numId w:val="1"/>
        </w:numPr>
        <w:rPr>
          <w:rFonts w:ascii="Calibri" w:eastAsia="Calibri" w:hAnsi="Calibri" w:cs="Calibri"/>
          <w:color w:val="374151"/>
          <w:sz w:val="24"/>
          <w:szCs w:val="24"/>
        </w:rPr>
      </w:pPr>
      <w:r w:rsidRPr="78D15848">
        <w:rPr>
          <w:rFonts w:ascii="Calibri" w:eastAsia="Calibri" w:hAnsi="Calibri" w:cs="Calibri"/>
          <w:color w:val="374151"/>
          <w:sz w:val="24"/>
          <w:szCs w:val="24"/>
        </w:rPr>
        <w:t>A post-incident review should be conducted to identify the cause of the incident and implement corrective measures.</w:t>
      </w:r>
    </w:p>
    <w:p w14:paraId="469E17BD" w14:textId="56D83079" w:rsidR="00E02FF6" w:rsidRDefault="6ECEC9F0">
      <w:r w:rsidRPr="78D15848">
        <w:rPr>
          <w:rFonts w:ascii="Calibri" w:eastAsia="Calibri" w:hAnsi="Calibri" w:cs="Calibri"/>
          <w:color w:val="374151"/>
          <w:sz w:val="24"/>
          <w:szCs w:val="24"/>
        </w:rPr>
        <w:t>Enforcement Violations of this policy may result in disciplinary action, up to and including termination of employment or legal action, depending on the severity of the violation. The company reserves the right to monitor all network activity to ensure compliance with this policy.</w:t>
      </w:r>
    </w:p>
    <w:p w14:paraId="6DC3010A" w14:textId="52682CD9" w:rsidR="00E02FF6" w:rsidRDefault="6ECEC9F0">
      <w:r w:rsidRPr="78D15848">
        <w:rPr>
          <w:rFonts w:ascii="Calibri" w:eastAsia="Calibri" w:hAnsi="Calibri" w:cs="Calibri"/>
          <w:color w:val="374151"/>
          <w:sz w:val="24"/>
          <w:szCs w:val="24"/>
        </w:rPr>
        <w:t>Conclusion This network security policy outlines the guidelines and procedures for maintaining a secure and protected network environment. It is the responsibility of all employees, contractors, and visitors to follow these guidelines and procedures to ensure the security of the company's network and data.</w:t>
      </w:r>
    </w:p>
    <w:p w14:paraId="2C078E63" w14:textId="432DC48F" w:rsidR="00E02FF6" w:rsidRDefault="00E02FF6" w:rsidP="78D15848"/>
    <w:sectPr w:rsidR="00E0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A40CC"/>
    <w:multiLevelType w:val="hybridMultilevel"/>
    <w:tmpl w:val="FFFFFFFF"/>
    <w:lvl w:ilvl="0" w:tplc="0A5EF678">
      <w:start w:val="1"/>
      <w:numFmt w:val="bullet"/>
      <w:lvlText w:val=""/>
      <w:lvlJc w:val="left"/>
      <w:pPr>
        <w:ind w:left="720" w:hanging="360"/>
      </w:pPr>
      <w:rPr>
        <w:rFonts w:ascii="Symbol" w:hAnsi="Symbol" w:hint="default"/>
      </w:rPr>
    </w:lvl>
    <w:lvl w:ilvl="1" w:tplc="FE72F15A">
      <w:start w:val="1"/>
      <w:numFmt w:val="bullet"/>
      <w:lvlText w:val="o"/>
      <w:lvlJc w:val="left"/>
      <w:pPr>
        <w:ind w:left="1440" w:hanging="360"/>
      </w:pPr>
      <w:rPr>
        <w:rFonts w:ascii="Courier New" w:hAnsi="Courier New" w:hint="default"/>
      </w:rPr>
    </w:lvl>
    <w:lvl w:ilvl="2" w:tplc="C5DC23BC">
      <w:start w:val="1"/>
      <w:numFmt w:val="bullet"/>
      <w:lvlText w:val=""/>
      <w:lvlJc w:val="left"/>
      <w:pPr>
        <w:ind w:left="2160" w:hanging="360"/>
      </w:pPr>
      <w:rPr>
        <w:rFonts w:ascii="Wingdings" w:hAnsi="Wingdings" w:hint="default"/>
      </w:rPr>
    </w:lvl>
    <w:lvl w:ilvl="3" w:tplc="2DF4608C">
      <w:start w:val="1"/>
      <w:numFmt w:val="bullet"/>
      <w:lvlText w:val=""/>
      <w:lvlJc w:val="left"/>
      <w:pPr>
        <w:ind w:left="2880" w:hanging="360"/>
      </w:pPr>
      <w:rPr>
        <w:rFonts w:ascii="Symbol" w:hAnsi="Symbol" w:hint="default"/>
      </w:rPr>
    </w:lvl>
    <w:lvl w:ilvl="4" w:tplc="6BF873B2">
      <w:start w:val="1"/>
      <w:numFmt w:val="bullet"/>
      <w:lvlText w:val="o"/>
      <w:lvlJc w:val="left"/>
      <w:pPr>
        <w:ind w:left="3600" w:hanging="360"/>
      </w:pPr>
      <w:rPr>
        <w:rFonts w:ascii="Courier New" w:hAnsi="Courier New" w:hint="default"/>
      </w:rPr>
    </w:lvl>
    <w:lvl w:ilvl="5" w:tplc="04DA9870">
      <w:start w:val="1"/>
      <w:numFmt w:val="bullet"/>
      <w:lvlText w:val=""/>
      <w:lvlJc w:val="left"/>
      <w:pPr>
        <w:ind w:left="4320" w:hanging="360"/>
      </w:pPr>
      <w:rPr>
        <w:rFonts w:ascii="Wingdings" w:hAnsi="Wingdings" w:hint="default"/>
      </w:rPr>
    </w:lvl>
    <w:lvl w:ilvl="6" w:tplc="9E34A6DE">
      <w:start w:val="1"/>
      <w:numFmt w:val="bullet"/>
      <w:lvlText w:val=""/>
      <w:lvlJc w:val="left"/>
      <w:pPr>
        <w:ind w:left="5040" w:hanging="360"/>
      </w:pPr>
      <w:rPr>
        <w:rFonts w:ascii="Symbol" w:hAnsi="Symbol" w:hint="default"/>
      </w:rPr>
    </w:lvl>
    <w:lvl w:ilvl="7" w:tplc="469EAB26">
      <w:start w:val="1"/>
      <w:numFmt w:val="bullet"/>
      <w:lvlText w:val="o"/>
      <w:lvlJc w:val="left"/>
      <w:pPr>
        <w:ind w:left="5760" w:hanging="360"/>
      </w:pPr>
      <w:rPr>
        <w:rFonts w:ascii="Courier New" w:hAnsi="Courier New" w:hint="default"/>
      </w:rPr>
    </w:lvl>
    <w:lvl w:ilvl="8" w:tplc="6D5C02EA">
      <w:start w:val="1"/>
      <w:numFmt w:val="bullet"/>
      <w:lvlText w:val=""/>
      <w:lvlJc w:val="left"/>
      <w:pPr>
        <w:ind w:left="6480" w:hanging="360"/>
      </w:pPr>
      <w:rPr>
        <w:rFonts w:ascii="Wingdings" w:hAnsi="Wingdings" w:hint="default"/>
      </w:rPr>
    </w:lvl>
  </w:abstractNum>
  <w:num w:numId="1" w16cid:durableId="198773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BB35A"/>
    <w:rsid w:val="00E02FF6"/>
    <w:rsid w:val="6ECEC9F0"/>
    <w:rsid w:val="788BB35A"/>
    <w:rsid w:val="78D158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B35A"/>
  <w15:chartTrackingRefBased/>
  <w15:docId w15:val="{988AD3D7-10E4-4009-ADA8-5BC3736F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aliases w:val="Fuente de párrafo predeter."/>
    <w:uiPriority w:val="1"/>
    <w:semiHidden/>
    <w:unhideWhenUsed/>
  </w:style>
  <w:style w:type="table" w:default="1" w:styleId="TableNormal">
    <w:name w:val="Normal Table"/>
    <w:aliases w:val="Tabla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Sin lista"/>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4D6B1AFC-7D2E-4AFB-AB97-494C4E704C70}"/>
</file>

<file path=customXml/itemProps2.xml><?xml version="1.0" encoding="utf-8"?>
<ds:datastoreItem xmlns:ds="http://schemas.openxmlformats.org/officeDocument/2006/customXml" ds:itemID="{220C5DAE-52CF-4390-BE91-844D039DB224}"/>
</file>

<file path=customXml/itemProps3.xml><?xml version="1.0" encoding="utf-8"?>
<ds:datastoreItem xmlns:ds="http://schemas.openxmlformats.org/officeDocument/2006/customXml" ds:itemID="{E3168330-C290-403D-BBD7-CCF8668232E0}"/>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1</cp:revision>
  <dcterms:created xsi:type="dcterms:W3CDTF">2023-03-10T22:08:00Z</dcterms:created>
  <dcterms:modified xsi:type="dcterms:W3CDTF">2023-03-10T22:08:00Z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2023-03-10T22:08:57Z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9ad59d7b-abc9-4b03-9deb-1a2c8c13c5c9</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