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500"/>
              <w:left w:type="dxa" w:w="400"/>
              <w:bottom w:type="dxa" w:w="500"/>
              <w:right w:type="dxa" w:w="400"/>
            </w:tcMar>
          </w:tcPr>
          <w:p>
            <w:pPr>
              <w:jc w:val="center"/>
            </w:pPr>
            <w:r>
              <w:rPr>
                <w:rFonts w:ascii="Arial" w:cs="Arial" w:eastAsia="Arial" w:hAnsi="Arial"/>
                <w:b/>
                <w:bCs/>
                <w:i w:val="false"/>
                <w:iCs w:val="false"/>
                <w:color w:val="D9E1F2"/>
                <w:sz w:val="24"/>
                <w:szCs w:val="24"/>
              </w:rPr>
              <w:t xml:space="preserve">PURE WATER AUTOMATIONS · VA MANAGEMENT</w:t>
            </w:r>
          </w:p>
          <w:p>
            <w:pPr>
              <w:spacing w:after="100" w:before="100"/>
              <w:jc w:val="center"/>
            </w:pPr>
            <w:r>
              <w:rPr>
                <w:rFonts w:ascii="Arial" w:cs="Arial" w:eastAsia="Arial" w:hAnsi="Arial"/>
                <w:b/>
                <w:bCs/>
                <w:i w:val="false"/>
                <w:iCs w:val="false"/>
                <w:color w:val="FFFFFF"/>
                <w:sz w:val="44"/>
                <w:szCs w:val="44"/>
              </w:rPr>
              <w:t xml:space="preserve">VA Manager — HR Manager Console</w:t>
            </w:r>
          </w:p>
          <w:p>
            <w:pPr>
              <w:jc w:val="center"/>
            </w:pPr>
            <w:r>
              <w:rPr>
                <w:rFonts w:ascii="Arial" w:cs="Arial" w:eastAsia="Arial" w:hAnsi="Arial"/>
                <w:b w:val="false"/>
                <w:bCs w:val="false"/>
                <w:i w:val="false"/>
                <w:iCs w:val="false"/>
                <w:color w:val="D9E1F2"/>
                <w:sz w:val="26"/>
                <w:szCs w:val="26"/>
              </w:rPr>
              <w:t xml:space="preserve">Video Walkthrough Script</w:t>
            </w:r>
          </w:p>
          <w:p>
            <w:pPr>
              <w:spacing w:before="240"/>
              <w:jc w:val="center"/>
            </w:pPr>
            <w:r>
              <w:rPr>
                <w:rFonts w:ascii="Arial" w:cs="Arial" w:eastAsia="Arial" w:hAnsi="Arial"/>
                <w:b w:val="false"/>
                <w:bCs w:val="false"/>
                <w:i/>
                <w:iCs/>
                <w:color w:val="A0AABF"/>
                <w:sz w:val="20"/>
                <w:szCs w:val="20"/>
              </w:rPr>
              <w:t xml:space="preserve">For VA Recording Use  |  Estimated Runtime: 9–12 minutes</w:t>
            </w:r>
          </w:p>
        </w:tc>
      </w:tr>
    </w:tbl>
    <w:p>
      <w:pPr>
        <w:spacing w:after="0" w:before="32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5090" w:val="clear"/>
            <w:tcMar>
              <w:top w:type="dxa" w:w="100"/>
              <w:left w:type="dxa" w:w="180"/>
              <w:bottom w:type="dxa" w:w="100"/>
              <w:right w:type="dxa" w:w="180"/>
            </w:tcMar>
          </w:tcPr>
          <w:p>
            <w:pPr>
              <w:spacing w:after="60" w:before="60"/>
            </w:pPr>
            <w:r>
              <w:rPr>
                <w:rFonts w:ascii="Arial" w:cs="Arial" w:eastAsia="Arial" w:hAnsi="Arial"/>
                <w:b/>
                <w:bCs/>
                <w:i w:val="false"/>
                <w:iCs w:val="false"/>
                <w:color w:val="FFFFFF"/>
                <w:sz w:val="26"/>
                <w:szCs w:val="26"/>
              </w:rPr>
              <w:t xml:space="preserve">HOW TO USE THIS SCRIPT</w:t>
            </w:r>
          </w:p>
        </w:tc>
      </w:tr>
    </w:tbl>
    <w:p>
      <w:pPr>
        <w:spacing w:after="0" w:before="120"/>
      </w:pPr>
    </w:p>
    <w:p>
      <w:pPr>
        <w:spacing w:after="120" w:before="0"/>
      </w:pPr>
      <w:r>
        <w:rPr>
          <w:rFonts w:ascii="Arial" w:cs="Arial" w:eastAsia="Arial" w:hAnsi="Arial"/>
          <w:b/>
          <w:bCs/>
          <w:i w:val="false"/>
          <w:iCs w:val="false"/>
          <w:color w:val="000000"/>
          <w:sz w:val="22"/>
          <w:szCs w:val="22"/>
        </w:rPr>
        <w:t xml:space="preserve">Format:  </w:t>
      </w:r>
      <w:r>
        <w:rPr>
          <w:rFonts w:ascii="Arial" w:cs="Arial" w:eastAsia="Arial" w:hAnsi="Arial"/>
          <w:b w:val="false"/>
          <w:bCs w:val="false"/>
          <w:i w:val="false"/>
          <w:iCs w:val="false"/>
          <w:color w:val="000000"/>
          <w:sz w:val="22"/>
          <w:szCs w:val="22"/>
        </w:rPr>
        <w:t xml:space="preserve">Narration (blue boxes) is what you say out loud. On Screen (yellow boxes) tells you what to click or show — do not read those aloud.</w:t>
      </w:r>
    </w:p>
    <w:p>
      <w:pPr>
        <w:spacing w:after="0" w:before="100"/>
      </w:pPr>
    </w:p>
    <w:p>
      <w:pPr>
        <w:spacing w:after="120" w:before="0"/>
      </w:pPr>
      <w:r>
        <w:rPr>
          <w:rFonts w:ascii="Arial" w:cs="Arial" w:eastAsia="Arial" w:hAnsi="Arial"/>
          <w:b/>
          <w:bCs/>
          <w:i w:val="false"/>
          <w:iCs w:val="false"/>
          <w:color w:val="000000"/>
          <w:sz w:val="22"/>
          <w:szCs w:val="22"/>
        </w:rPr>
        <w:t xml:space="preserve">Before recording:  </w:t>
      </w:r>
      <w:r>
        <w:rPr>
          <w:rFonts w:ascii="Arial" w:cs="Arial" w:eastAsia="Arial" w:hAnsi="Arial"/>
          <w:b w:val="false"/>
          <w:bCs w:val="false"/>
          <w:i w:val="false"/>
          <w:iCs w:val="false"/>
          <w:color w:val="000000"/>
          <w:sz w:val="22"/>
          <w:szCs w:val="22"/>
        </w:rPr>
        <w:t xml:space="preserve">Sign in to team.pwasecondbrain.uk as an HR Manager. Make sure a few sample VAs are visible, plus at least one pending tier review and one capacity flag, so no screen looks empty. Close other browser tabs and silence notifications. Record full-screen in Chrome at 1080p.</w:t>
      </w:r>
    </w:p>
    <w:p>
      <w:pPr>
        <w:spacing w:after="0" w:before="100"/>
      </w:pPr>
    </w:p>
    <w:p>
      <w:pPr>
        <w:spacing w:after="120" w:before="0"/>
      </w:pPr>
      <w:r>
        <w:rPr>
          <w:rFonts w:ascii="Arial" w:cs="Arial" w:eastAsia="Arial" w:hAnsi="Arial"/>
          <w:b/>
          <w:bCs/>
          <w:i w:val="false"/>
          <w:iCs w:val="false"/>
          <w:color w:val="000000"/>
          <w:sz w:val="22"/>
          <w:szCs w:val="22"/>
        </w:rPr>
        <w:t xml:space="preserve">Pace:  </w:t>
      </w:r>
      <w:r>
        <w:rPr>
          <w:rFonts w:ascii="Arial" w:cs="Arial" w:eastAsia="Arial" w:hAnsi="Arial"/>
          <w:b w:val="false"/>
          <w:bCs w:val="false"/>
          <w:i w:val="false"/>
          <w:iCs w:val="false"/>
          <w:color w:val="000000"/>
          <w:sz w:val="22"/>
          <w:szCs w:val="22"/>
        </w:rPr>
        <w:t xml:space="preserve">Move slowly and deliberately. Pause 2–3 seconds after every click so the editor has clean footage to cut to.</w:t>
      </w:r>
    </w:p>
    <w:p>
      <w:pPr>
        <w:spacing w:after="0" w:before="100"/>
      </w:pPr>
    </w:p>
    <w:p>
      <w:pPr>
        <w:spacing w:after="0" w:before="20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60"/>
              <w:left w:type="dxa" w:w="300"/>
              <w:bottom w:type="dxa" w:w="160"/>
              <w:right w:type="dxa" w:w="300"/>
            </w:tcMar>
          </w:tcPr>
          <w:p>
            <w:pPr>
              <w:spacing w:after="80" w:before="80"/>
            </w:pPr>
            <w:r>
              <w:rPr>
                <w:rFonts w:ascii="Arial" w:cs="Arial" w:eastAsia="Arial" w:hAnsi="Arial"/>
                <w:b/>
                <w:bCs/>
                <w:i w:val="false"/>
                <w:iCs w:val="false"/>
                <w:color w:val="FFFFFF"/>
                <w:sz w:val="26"/>
                <w:szCs w:val="26"/>
              </w:rPr>
              <w:t xml:space="preserve">PART 1 — WELCOME &amp; SIGNING IN  (45 seconds)</w:t>
            </w:r>
          </w:p>
        </w:tc>
      </w:tr>
    </w:tbl>
    <w:p>
      <w:pPr>
        <w:spacing w:after="0" w:before="10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2CC" w:val="clear"/>
            <w:tcMar>
              <w:top w:type="dxa" w:w="100"/>
              <w:left w:type="dxa" w:w="180"/>
              <w:bottom w:type="dxa" w:w="100"/>
              <w:right w:type="dxa" w:w="180"/>
            </w:tcMar>
          </w:tcPr>
          <w:p>
            <w:pPr>
              <w:spacing w:after="60" w:before="60"/>
            </w:pPr>
            <w:r>
              <w:rPr>
                <w:rFonts w:ascii="Arial" w:cs="Arial" w:eastAsia="Arial" w:hAnsi="Arial"/>
                <w:b/>
                <w:bCs/>
                <w:i w:val="false"/>
                <w:iCs w:val="false"/>
                <w:color w:val="000000"/>
                <w:sz w:val="22"/>
                <w:szCs w:val="22"/>
              </w:rPr>
              <w:t xml:space="preserve">  ON SCREEN:  </w:t>
            </w:r>
            <w:r>
              <w:rPr>
                <w:rFonts w:ascii="Arial" w:cs="Arial" w:eastAsia="Arial" w:hAnsi="Arial"/>
                <w:b w:val="false"/>
                <w:bCs w:val="false"/>
                <w:i w:val="false"/>
                <w:iCs w:val="false"/>
                <w:color w:val="000000"/>
                <w:sz w:val="22"/>
                <w:szCs w:val="22"/>
              </w:rPr>
              <w:t xml:space="preserve">Start on the Google sign-in screen, then land on the HR dashboard with the left sidebar visible.</w:t>
            </w:r>
          </w:p>
        </w:tc>
      </w:tr>
    </w:tbl>
    <w:p>
      <w:pPr>
        <w:spacing w:after="0" w:before="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3FB" w:val="clear"/>
            <w:tcMar>
              <w:top w:type="dxa" w:w="120"/>
              <w:left w:type="dxa" w:w="240"/>
              <w:bottom w:type="dxa" w:w="120"/>
              <w:right w:type="dxa" w:w="240"/>
            </w:tcMar>
          </w:tcPr>
          <w:p>
            <w:pPr>
              <w:spacing w:after="80" w:before="80"/>
            </w:pPr>
            <w:r>
              <w:rPr>
                <w:rFonts w:ascii="Arial" w:cs="Arial" w:eastAsia="Arial" w:hAnsi="Arial"/>
                <w:b w:val="false"/>
                <w:bCs w:val="false"/>
                <w:i w:val="false"/>
                <w:iCs w:val="false"/>
                <w:color w:val="000000"/>
                <w:sz w:val="22"/>
                <w:szCs w:val="22"/>
              </w:rPr>
              <w:t xml:space="preserve">Welcome to the VA Management Console — your home base for running the Pure Water VA team. You open it at team-dot-pwasecondbrain-dot-uk and sign in with your Google account; that is Cloudflare guarding the door, so only approved staff get in. Once you are in, the layout stays the same the whole time: your tools live in the sidebar on the left, and the main panel shows whatever you select. What you see depends on your role — as an HR Manager you get the full set, organized into three groups: Daily, Manage, and Recruitment.</w:t>
            </w:r>
          </w:p>
        </w:tc>
      </w:tr>
    </w:tbl>
    <w:p>
      <w:pPr>
        <w:spacing w:after="0" w:before="1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472C4" w:val="clear"/>
            <w:tcMar>
              <w:top w:type="dxa" w:w="160"/>
              <w:left w:type="dxa" w:w="300"/>
              <w:bottom w:type="dxa" w:w="160"/>
              <w:right w:type="dxa" w:w="300"/>
            </w:tcMar>
          </w:tcPr>
          <w:p>
            <w:pPr>
              <w:spacing w:after="80" w:before="80"/>
            </w:pPr>
            <w:r>
              <w:rPr>
                <w:rFonts w:ascii="Arial" w:cs="Arial" w:eastAsia="Arial" w:hAnsi="Arial"/>
                <w:b/>
                <w:bCs/>
                <w:i w:val="false"/>
                <w:iCs w:val="false"/>
                <w:color w:val="FFFFFF"/>
                <w:sz w:val="26"/>
                <w:szCs w:val="26"/>
              </w:rPr>
              <w:t xml:space="preserve">PART 2 — THE HR DASHBOARD  (1 minute)</w:t>
            </w:r>
          </w:p>
        </w:tc>
      </w:tr>
    </w:tbl>
    <w:p>
      <w:pPr>
        <w:spacing w:after="0" w:before="10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2CC" w:val="clear"/>
            <w:tcMar>
              <w:top w:type="dxa" w:w="100"/>
              <w:left w:type="dxa" w:w="180"/>
              <w:bottom w:type="dxa" w:w="100"/>
              <w:right w:type="dxa" w:w="180"/>
            </w:tcMar>
          </w:tcPr>
          <w:p>
            <w:pPr>
              <w:spacing w:after="60" w:before="60"/>
            </w:pPr>
            <w:r>
              <w:rPr>
                <w:rFonts w:ascii="Arial" w:cs="Arial" w:eastAsia="Arial" w:hAnsi="Arial"/>
                <w:b/>
                <w:bCs/>
                <w:i w:val="false"/>
                <w:iCs w:val="false"/>
                <w:color w:val="000000"/>
                <w:sz w:val="22"/>
                <w:szCs w:val="22"/>
              </w:rPr>
              <w:t xml:space="preserve">  ON SCREEN:  </w:t>
            </w:r>
            <w:r>
              <w:rPr>
                <w:rFonts w:ascii="Arial" w:cs="Arial" w:eastAsia="Arial" w:hAnsi="Arial"/>
                <w:b w:val="false"/>
                <w:bCs w:val="false"/>
                <w:i w:val="false"/>
                <w:iCs w:val="false"/>
                <w:color w:val="000000"/>
                <w:sz w:val="22"/>
                <w:szCs w:val="22"/>
              </w:rPr>
              <w:t xml:space="preserve">Click the dashboard. Point to the four tiles (Pending tier reviews, Active VAs, Capacity flags, Check-ins this month), then the attention cards, then Recent activity.</w:t>
            </w:r>
          </w:p>
        </w:tc>
      </w:tr>
    </w:tbl>
    <w:p>
      <w:pPr>
        <w:spacing w:after="0" w:before="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3FB" w:val="clear"/>
            <w:tcMar>
              <w:top w:type="dxa" w:w="120"/>
              <w:left w:type="dxa" w:w="240"/>
              <w:bottom w:type="dxa" w:w="120"/>
              <w:right w:type="dxa" w:w="240"/>
            </w:tcMar>
          </w:tcPr>
          <w:p>
            <w:pPr>
              <w:spacing w:after="80" w:before="80"/>
            </w:pPr>
            <w:r>
              <w:rPr>
                <w:rFonts w:ascii="Arial" w:cs="Arial" w:eastAsia="Arial" w:hAnsi="Arial"/>
                <w:b w:val="false"/>
                <w:bCs w:val="false"/>
                <w:i w:val="false"/>
                <w:iCs w:val="false"/>
                <w:color w:val="000000"/>
                <w:sz w:val="22"/>
                <w:szCs w:val="22"/>
              </w:rPr>
              <w:t xml:space="preserve">This first screen — the VA operations console — is your morning glance. Across the top are four numbers: pending tier reviews, active VAs, capacity flags, and check-ins logged this month. Below them are attention cards that surface what needs you today — people waiting on a tier decision, anyone flagged for capacity, and an efficiency watch list. At the bottom, Recent activity is a running feed of everything happening across the team. If a number or card looks off, click straight into it — every tile is a shortcut to the full screen. Think of this page as simply: what needs me right now.</w:t>
            </w:r>
          </w:p>
        </w:tc>
      </w:tr>
    </w:tbl>
    <w:p>
      <w:pPr>
        <w:spacing w:after="0" w:before="1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95959" w:val="clear"/>
            <w:tcMar>
              <w:top w:type="dxa" w:w="160"/>
              <w:left w:type="dxa" w:w="300"/>
              <w:bottom w:type="dxa" w:w="160"/>
              <w:right w:type="dxa" w:w="300"/>
            </w:tcMar>
          </w:tcPr>
          <w:p>
            <w:pPr>
              <w:spacing w:after="80" w:before="80"/>
            </w:pPr>
            <w:r>
              <w:rPr>
                <w:rFonts w:ascii="Arial" w:cs="Arial" w:eastAsia="Arial" w:hAnsi="Arial"/>
                <w:b/>
                <w:bCs/>
                <w:i w:val="false"/>
                <w:iCs w:val="false"/>
                <w:color w:val="FFFFFF"/>
                <w:sz w:val="26"/>
                <w:szCs w:val="26"/>
              </w:rPr>
              <w:t xml:space="preserve">PART 3 — TIER REVIEWS  (1 minute)</w:t>
            </w:r>
          </w:p>
        </w:tc>
      </w:tr>
    </w:tbl>
    <w:p>
      <w:pPr>
        <w:spacing w:after="0" w:before="10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2CC" w:val="clear"/>
            <w:tcMar>
              <w:top w:type="dxa" w:w="100"/>
              <w:left w:type="dxa" w:w="180"/>
              <w:bottom w:type="dxa" w:w="100"/>
              <w:right w:type="dxa" w:w="180"/>
            </w:tcMar>
          </w:tcPr>
          <w:p>
            <w:pPr>
              <w:spacing w:after="60" w:before="60"/>
            </w:pPr>
            <w:r>
              <w:rPr>
                <w:rFonts w:ascii="Arial" w:cs="Arial" w:eastAsia="Arial" w:hAnsi="Arial"/>
                <w:b/>
                <w:bCs/>
                <w:i w:val="false"/>
                <w:iCs w:val="false"/>
                <w:color w:val="000000"/>
                <w:sz w:val="22"/>
                <w:szCs w:val="22"/>
              </w:rPr>
              <w:t xml:space="preserve">  ON SCREEN:  </w:t>
            </w:r>
            <w:r>
              <w:rPr>
                <w:rFonts w:ascii="Arial" w:cs="Arial" w:eastAsia="Arial" w:hAnsi="Arial"/>
                <w:b w:val="false"/>
                <w:bCs w:val="false"/>
                <w:i w:val="false"/>
                <w:iCs w:val="false"/>
                <w:color w:val="000000"/>
                <w:sz w:val="22"/>
                <w:szCs w:val="22"/>
              </w:rPr>
              <w:t xml:space="preserve">Click "Tier Reviews". Show the Pending list, open one pending review, then show the Decided list below.</w:t>
            </w:r>
          </w:p>
        </w:tc>
      </w:tr>
    </w:tbl>
    <w:p>
      <w:pPr>
        <w:spacing w:after="0" w:before="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3FB" w:val="clear"/>
            <w:tcMar>
              <w:top w:type="dxa" w:w="120"/>
              <w:left w:type="dxa" w:w="240"/>
              <w:bottom w:type="dxa" w:w="120"/>
              <w:right w:type="dxa" w:w="240"/>
            </w:tcMar>
          </w:tcPr>
          <w:p>
            <w:pPr>
              <w:spacing w:after="80" w:before="80"/>
            </w:pPr>
            <w:r>
              <w:rPr>
                <w:rFonts w:ascii="Arial" w:cs="Arial" w:eastAsia="Arial" w:hAnsi="Arial"/>
                <w:b w:val="false"/>
                <w:bCs w:val="false"/>
                <w:i w:val="false"/>
                <w:iCs w:val="false"/>
                <w:color w:val="000000"/>
                <w:sz w:val="22"/>
                <w:szCs w:val="22"/>
              </w:rPr>
              <w:t xml:space="preserve">Tier Reviews is where VAs move up. When someone hits their hours and stays on track, the system automatically lists them here under Pending — you never have to hunt for who is due. Open a pending review and you will see their progress and the role they are advancing into. You either approve the advancement or hold it if they are not ready. One important rule: graduating out of the trainee tier is gated on their evaluation, not just hours — so a brand-new trainee will not appear here on hours alone. Everything you decide drops into the Decided list below, so there is always a clear record of who advanced and when.</w:t>
            </w:r>
          </w:p>
        </w:tc>
      </w:tr>
    </w:tbl>
    <w:p>
      <w:pPr>
        <w:spacing w:after="0" w:before="1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6B3C" w:val="clear"/>
            <w:tcMar>
              <w:top w:type="dxa" w:w="160"/>
              <w:left w:type="dxa" w:w="300"/>
              <w:bottom w:type="dxa" w:w="160"/>
              <w:right w:type="dxa" w:w="300"/>
            </w:tcMar>
          </w:tcPr>
          <w:p>
            <w:pPr>
              <w:spacing w:after="80" w:before="80"/>
            </w:pPr>
            <w:r>
              <w:rPr>
                <w:rFonts w:ascii="Arial" w:cs="Arial" w:eastAsia="Arial" w:hAnsi="Arial"/>
                <w:b/>
                <w:bCs/>
                <w:i w:val="false"/>
                <w:iCs w:val="false"/>
                <w:color w:val="FFFFFF"/>
                <w:sz w:val="26"/>
                <w:szCs w:val="26"/>
              </w:rPr>
              <w:t xml:space="preserve">PART 4 — EVALUATIONS  (1 minute)</w:t>
            </w:r>
          </w:p>
        </w:tc>
      </w:tr>
    </w:tbl>
    <w:p>
      <w:pPr>
        <w:spacing w:after="0" w:before="10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2CC" w:val="clear"/>
            <w:tcMar>
              <w:top w:type="dxa" w:w="100"/>
              <w:left w:type="dxa" w:w="180"/>
              <w:bottom w:type="dxa" w:w="100"/>
              <w:right w:type="dxa" w:w="180"/>
            </w:tcMar>
          </w:tcPr>
          <w:p>
            <w:pPr>
              <w:spacing w:after="60" w:before="60"/>
            </w:pPr>
            <w:r>
              <w:rPr>
                <w:rFonts w:ascii="Arial" w:cs="Arial" w:eastAsia="Arial" w:hAnsi="Arial"/>
                <w:b/>
                <w:bCs/>
                <w:i w:val="false"/>
                <w:iCs w:val="false"/>
                <w:color w:val="000000"/>
                <w:sz w:val="22"/>
                <w:szCs w:val="22"/>
              </w:rPr>
              <w:t xml:space="preserve">  ON SCREEN:  </w:t>
            </w:r>
            <w:r>
              <w:rPr>
                <w:rFonts w:ascii="Arial" w:cs="Arial" w:eastAsia="Arial" w:hAnsi="Arial"/>
                <w:b w:val="false"/>
                <w:bCs w:val="false"/>
                <w:i w:val="false"/>
                <w:iCs w:val="false"/>
                <w:color w:val="000000"/>
                <w:sz w:val="22"/>
                <w:szCs w:val="22"/>
              </w:rPr>
              <w:t xml:space="preserve">Click "Evaluations". Point to "Start an evaluation", then the "In progress" and "Decided" sections.</w:t>
            </w:r>
          </w:p>
        </w:tc>
      </w:tr>
    </w:tbl>
    <w:p>
      <w:pPr>
        <w:spacing w:after="0" w:before="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3FB" w:val="clear"/>
            <w:tcMar>
              <w:top w:type="dxa" w:w="120"/>
              <w:left w:type="dxa" w:w="240"/>
              <w:bottom w:type="dxa" w:w="120"/>
              <w:right w:type="dxa" w:w="240"/>
            </w:tcMar>
          </w:tcPr>
          <w:p>
            <w:pPr>
              <w:spacing w:after="80" w:before="80"/>
            </w:pPr>
            <w:r>
              <w:rPr>
                <w:rFonts w:ascii="Arial" w:cs="Arial" w:eastAsia="Arial" w:hAnsi="Arial"/>
                <w:b w:val="false"/>
                <w:bCs w:val="false"/>
                <w:i w:val="false"/>
                <w:iCs w:val="false"/>
                <w:color w:val="000000"/>
                <w:sz w:val="22"/>
                <w:szCs w:val="22"/>
              </w:rPr>
              <w:t xml:space="preserve">Evaluations is how you run a performance review. At the top, Start an evaluation kicks off a new one for a VA — it gathers their own self-assessment and their supervisor’s assessment, so you see both sides side by side. While those are being filled in, the review sits under In progress. Once everything is in, you make the call and it moves to Decided. This is also what unlocks a trainee’s graduation, so Evaluations and Tier Reviews work hand in hand. Run these on a steady cadence — they are the backbone of how the team grows and how people earn their next tier.</w:t>
            </w:r>
          </w:p>
        </w:tc>
      </w:tr>
    </w:tbl>
    <w:p>
      <w:pPr>
        <w:spacing w:after="0" w:before="1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00000" w:val="clear"/>
            <w:tcMar>
              <w:top w:type="dxa" w:w="160"/>
              <w:left w:type="dxa" w:w="300"/>
              <w:bottom w:type="dxa" w:w="160"/>
              <w:right w:type="dxa" w:w="300"/>
            </w:tcMar>
          </w:tcPr>
          <w:p>
            <w:pPr>
              <w:spacing w:after="80" w:before="80"/>
            </w:pPr>
            <w:r>
              <w:rPr>
                <w:rFonts w:ascii="Arial" w:cs="Arial" w:eastAsia="Arial" w:hAnsi="Arial"/>
                <w:b/>
                <w:bCs/>
                <w:i w:val="false"/>
                <w:iCs w:val="false"/>
                <w:color w:val="FFFFFF"/>
                <w:sz w:val="26"/>
                <w:szCs w:val="26"/>
              </w:rPr>
              <w:t xml:space="preserve">PART 5 — CAPACITY ALERTS  (45 seconds)</w:t>
            </w:r>
          </w:p>
        </w:tc>
      </w:tr>
    </w:tbl>
    <w:p>
      <w:pPr>
        <w:spacing w:after="0" w:before="10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2CC" w:val="clear"/>
            <w:tcMar>
              <w:top w:type="dxa" w:w="100"/>
              <w:left w:type="dxa" w:w="180"/>
              <w:bottom w:type="dxa" w:w="100"/>
              <w:right w:type="dxa" w:w="180"/>
            </w:tcMar>
          </w:tcPr>
          <w:p>
            <w:pPr>
              <w:spacing w:after="60" w:before="60"/>
            </w:pPr>
            <w:r>
              <w:rPr>
                <w:rFonts w:ascii="Arial" w:cs="Arial" w:eastAsia="Arial" w:hAnsi="Arial"/>
                <w:b/>
                <w:bCs/>
                <w:i w:val="false"/>
                <w:iCs w:val="false"/>
                <w:color w:val="000000"/>
                <w:sz w:val="22"/>
                <w:szCs w:val="22"/>
              </w:rPr>
              <w:t xml:space="preserve">  ON SCREEN:  </w:t>
            </w:r>
            <w:r>
              <w:rPr>
                <w:rFonts w:ascii="Arial" w:cs="Arial" w:eastAsia="Arial" w:hAnsi="Arial"/>
                <w:b w:val="false"/>
                <w:bCs w:val="false"/>
                <w:i w:val="false"/>
                <w:iCs w:val="false"/>
                <w:color w:val="000000"/>
                <w:sz w:val="22"/>
                <w:szCs w:val="22"/>
              </w:rPr>
              <w:t xml:space="preserve">Click "Capacity Alerts". Show "Currently flagged" and "Recent flag history".</w:t>
            </w:r>
          </w:p>
        </w:tc>
      </w:tr>
    </w:tbl>
    <w:p>
      <w:pPr>
        <w:spacing w:after="0" w:before="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3FB" w:val="clear"/>
            <w:tcMar>
              <w:top w:type="dxa" w:w="120"/>
              <w:left w:type="dxa" w:w="240"/>
              <w:bottom w:type="dxa" w:w="120"/>
              <w:right w:type="dxa" w:w="240"/>
            </w:tcMar>
          </w:tcPr>
          <w:p>
            <w:pPr>
              <w:spacing w:after="80" w:before="80"/>
            </w:pPr>
            <w:r>
              <w:rPr>
                <w:rFonts w:ascii="Arial" w:cs="Arial" w:eastAsia="Arial" w:hAnsi="Arial"/>
                <w:b w:val="false"/>
                <w:bCs w:val="false"/>
                <w:i w:val="false"/>
                <w:iCs w:val="false"/>
                <w:color w:val="000000"/>
                <w:sz w:val="22"/>
                <w:szCs w:val="22"/>
              </w:rPr>
              <w:t xml:space="preserve">Capacity Alerts watches everyone’s workload for you. It compares each VA’s logged hours against their weekly target and flags two problems: someone overburdened, taking on too much, or someone underutilized, with room to do more. Currently flagged is who needs attention today; Recent flag history shows the pattern over time, so you can tell a one-off busy week from a real trend. Use this to rebalance work before someone burns out — or before good capacity goes to waste.</w:t>
            </w:r>
          </w:p>
        </w:tc>
      </w:tr>
    </w:tbl>
    <w:p>
      <w:pPr>
        <w:spacing w:after="0" w:before="1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5090" w:val="clear"/>
            <w:tcMar>
              <w:top w:type="dxa" w:w="160"/>
              <w:left w:type="dxa" w:w="300"/>
              <w:bottom w:type="dxa" w:w="160"/>
              <w:right w:type="dxa" w:w="300"/>
            </w:tcMar>
          </w:tcPr>
          <w:p>
            <w:pPr>
              <w:spacing w:after="80" w:before="80"/>
            </w:pPr>
            <w:r>
              <w:rPr>
                <w:rFonts w:ascii="Arial" w:cs="Arial" w:eastAsia="Arial" w:hAnsi="Arial"/>
                <w:b/>
                <w:bCs/>
                <w:i w:val="false"/>
                <w:iCs w:val="false"/>
                <w:color w:val="FFFFFF"/>
                <w:sz w:val="26"/>
                <w:szCs w:val="26"/>
              </w:rPr>
              <w:t xml:space="preserve">PART 6 — VA REGISTRY  (1 minute 15 seconds)</w:t>
            </w:r>
          </w:p>
        </w:tc>
      </w:tr>
    </w:tbl>
    <w:p>
      <w:pPr>
        <w:spacing w:after="0" w:before="10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2CC" w:val="clear"/>
            <w:tcMar>
              <w:top w:type="dxa" w:w="100"/>
              <w:left w:type="dxa" w:w="180"/>
              <w:bottom w:type="dxa" w:w="100"/>
              <w:right w:type="dxa" w:w="180"/>
            </w:tcMar>
          </w:tcPr>
          <w:p>
            <w:pPr>
              <w:spacing w:after="60" w:before="60"/>
            </w:pPr>
            <w:r>
              <w:rPr>
                <w:rFonts w:ascii="Arial" w:cs="Arial" w:eastAsia="Arial" w:hAnsi="Arial"/>
                <w:b/>
                <w:bCs/>
                <w:i w:val="false"/>
                <w:iCs w:val="false"/>
                <w:color w:val="000000"/>
                <w:sz w:val="22"/>
                <w:szCs w:val="22"/>
              </w:rPr>
              <w:t xml:space="preserve">  ON SCREEN:  </w:t>
            </w:r>
            <w:r>
              <w:rPr>
                <w:rFonts w:ascii="Arial" w:cs="Arial" w:eastAsia="Arial" w:hAnsi="Arial"/>
                <w:b w:val="false"/>
                <w:bCs w:val="false"/>
                <w:i w:val="false"/>
                <w:iCs w:val="false"/>
                <w:color w:val="000000"/>
                <w:sz w:val="22"/>
                <w:szCs w:val="22"/>
              </w:rPr>
              <w:t xml:space="preserve">Click "VA Registry". Show the list, then open one VA to reveal their details — status, compensation role, supervisor, weekly target hours.</w:t>
            </w:r>
          </w:p>
        </w:tc>
      </w:tr>
    </w:tbl>
    <w:p>
      <w:pPr>
        <w:spacing w:after="0" w:before="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3FB" w:val="clear"/>
            <w:tcMar>
              <w:top w:type="dxa" w:w="120"/>
              <w:left w:type="dxa" w:w="240"/>
              <w:bottom w:type="dxa" w:w="120"/>
              <w:right w:type="dxa" w:w="240"/>
            </w:tcMar>
          </w:tcPr>
          <w:p>
            <w:pPr>
              <w:spacing w:after="80" w:before="80"/>
            </w:pPr>
            <w:r>
              <w:rPr>
                <w:rFonts w:ascii="Arial" w:cs="Arial" w:eastAsia="Arial" w:hAnsi="Arial"/>
                <w:b w:val="false"/>
                <w:bCs w:val="false"/>
                <w:i w:val="false"/>
                <w:iCs w:val="false"/>
                <w:color w:val="000000"/>
                <w:sz w:val="22"/>
                <w:szCs w:val="22"/>
              </w:rPr>
              <w:t xml:space="preserve">The VA Registry is your master list of everyone on the team — this is the source of truth. Each person has a record you can open and edit: their status, such as active or training; their compensation role, which sets how they are paid; who their supervisor is; and their weekly target hours, which is the number that capacity alerts and tier reviews measure against. Keeping these accurate really matters, because the rest of the console runs off this data. When a new VA is provisioned through onboarding they appear here automatically — but this is also where you update anyone’s details, change a role, or reassign a supervisor.</w:t>
            </w:r>
          </w:p>
        </w:tc>
      </w:tr>
    </w:tbl>
    <w:p>
      <w:pPr>
        <w:spacing w:after="0" w:before="1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030A0" w:val="clear"/>
            <w:tcMar>
              <w:top w:type="dxa" w:w="160"/>
              <w:left w:type="dxa" w:w="300"/>
              <w:bottom w:type="dxa" w:w="160"/>
              <w:right w:type="dxa" w:w="300"/>
            </w:tcMar>
          </w:tcPr>
          <w:p>
            <w:pPr>
              <w:spacing w:after="80" w:before="80"/>
            </w:pPr>
            <w:r>
              <w:rPr>
                <w:rFonts w:ascii="Arial" w:cs="Arial" w:eastAsia="Arial" w:hAnsi="Arial"/>
                <w:b/>
                <w:bCs/>
                <w:i w:val="false"/>
                <w:iCs w:val="false"/>
                <w:color w:val="FFFFFF"/>
                <w:sz w:val="26"/>
                <w:szCs w:val="26"/>
              </w:rPr>
              <w:t xml:space="preserve">PART 7 — COMPENSATION ROLES  (45 seconds)</w:t>
            </w:r>
          </w:p>
        </w:tc>
      </w:tr>
    </w:tbl>
    <w:p>
      <w:pPr>
        <w:spacing w:after="0" w:before="10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2CC" w:val="clear"/>
            <w:tcMar>
              <w:top w:type="dxa" w:w="100"/>
              <w:left w:type="dxa" w:w="180"/>
              <w:bottom w:type="dxa" w:w="100"/>
              <w:right w:type="dxa" w:w="180"/>
            </w:tcMar>
          </w:tcPr>
          <w:p>
            <w:pPr>
              <w:spacing w:after="60" w:before="60"/>
            </w:pPr>
            <w:r>
              <w:rPr>
                <w:rFonts w:ascii="Arial" w:cs="Arial" w:eastAsia="Arial" w:hAnsi="Arial"/>
                <w:b/>
                <w:bCs/>
                <w:i w:val="false"/>
                <w:iCs w:val="false"/>
                <w:color w:val="000000"/>
                <w:sz w:val="22"/>
                <w:szCs w:val="22"/>
              </w:rPr>
              <w:t xml:space="preserve">  ON SCREEN:  </w:t>
            </w:r>
            <w:r>
              <w:rPr>
                <w:rFonts w:ascii="Arial" w:cs="Arial" w:eastAsia="Arial" w:hAnsi="Arial"/>
                <w:b w:val="false"/>
                <w:bCs w:val="false"/>
                <w:i w:val="false"/>
                <w:iCs w:val="false"/>
                <w:color w:val="000000"/>
                <w:sz w:val="22"/>
                <w:szCs w:val="22"/>
              </w:rPr>
              <w:t xml:space="preserve">Click "Compensation Roles". Show the list of roles and their rates.</w:t>
            </w:r>
          </w:p>
        </w:tc>
      </w:tr>
    </w:tbl>
    <w:p>
      <w:pPr>
        <w:spacing w:after="0" w:before="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3FB" w:val="clear"/>
            <w:tcMar>
              <w:top w:type="dxa" w:w="120"/>
              <w:left w:type="dxa" w:w="240"/>
              <w:bottom w:type="dxa" w:w="120"/>
              <w:right w:type="dxa" w:w="240"/>
            </w:tcMar>
          </w:tcPr>
          <w:p>
            <w:pPr>
              <w:spacing w:after="80" w:before="80"/>
            </w:pPr>
            <w:r>
              <w:rPr>
                <w:rFonts w:ascii="Arial" w:cs="Arial" w:eastAsia="Arial" w:hAnsi="Arial"/>
                <w:b w:val="false"/>
                <w:bCs w:val="false"/>
                <w:i w:val="false"/>
                <w:iCs w:val="false"/>
                <w:color w:val="000000"/>
                <w:sz w:val="22"/>
                <w:szCs w:val="22"/>
              </w:rPr>
              <w:t xml:space="preserve">Compensation Roles is the small but important table behind pay. Each role defines a rate, and every VA in the registry is mapped to one of these roles. When you set someone’s compensation role over in the registry, the rate comes from here. You will touch this screen rarely — usually only when rates change or you add a new role — but it is good to know it exists, because it is what keeps everyone’s pay consistent and rule-based instead of one-off.</w:t>
            </w:r>
          </w:p>
        </w:tc>
      </w:tr>
    </w:tbl>
    <w:p>
      <w:pPr>
        <w:spacing w:after="0" w:before="1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F8F00" w:val="clear"/>
            <w:tcMar>
              <w:top w:type="dxa" w:w="160"/>
              <w:left w:type="dxa" w:w="300"/>
              <w:bottom w:type="dxa" w:w="160"/>
              <w:right w:type="dxa" w:w="300"/>
            </w:tcMar>
          </w:tcPr>
          <w:p>
            <w:pPr>
              <w:spacing w:after="80" w:before="80"/>
            </w:pPr>
            <w:r>
              <w:rPr>
                <w:rFonts w:ascii="Arial" w:cs="Arial" w:eastAsia="Arial" w:hAnsi="Arial"/>
                <w:b/>
                <w:bCs/>
                <w:i w:val="false"/>
                <w:iCs w:val="false"/>
                <w:color w:val="FFFFFF"/>
                <w:sz w:val="26"/>
                <w:szCs w:val="26"/>
              </w:rPr>
              <w:t xml:space="preserve">PART 8 — FORMS &amp; CHECK-INS  (45 seconds)</w:t>
            </w:r>
          </w:p>
        </w:tc>
      </w:tr>
    </w:tbl>
    <w:p>
      <w:pPr>
        <w:spacing w:after="0" w:before="10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2CC" w:val="clear"/>
            <w:tcMar>
              <w:top w:type="dxa" w:w="100"/>
              <w:left w:type="dxa" w:w="180"/>
              <w:bottom w:type="dxa" w:w="100"/>
              <w:right w:type="dxa" w:w="180"/>
            </w:tcMar>
          </w:tcPr>
          <w:p>
            <w:pPr>
              <w:spacing w:after="60" w:before="60"/>
            </w:pPr>
            <w:r>
              <w:rPr>
                <w:rFonts w:ascii="Arial" w:cs="Arial" w:eastAsia="Arial" w:hAnsi="Arial"/>
                <w:b/>
                <w:bCs/>
                <w:i w:val="false"/>
                <w:iCs w:val="false"/>
                <w:color w:val="000000"/>
                <w:sz w:val="22"/>
                <w:szCs w:val="22"/>
              </w:rPr>
              <w:t xml:space="preserve">  ON SCREEN:  </w:t>
            </w:r>
            <w:r>
              <w:rPr>
                <w:rFonts w:ascii="Arial" w:cs="Arial" w:eastAsia="Arial" w:hAnsi="Arial"/>
                <w:b w:val="false"/>
                <w:bCs w:val="false"/>
                <w:i w:val="false"/>
                <w:iCs w:val="false"/>
                <w:color w:val="000000"/>
                <w:sz w:val="22"/>
                <w:szCs w:val="22"/>
              </w:rPr>
              <w:t xml:space="preserve">Click "Forms &amp; Check-ins". Show the monthly check-in tracking.</w:t>
            </w:r>
          </w:p>
        </w:tc>
      </w:tr>
    </w:tbl>
    <w:p>
      <w:pPr>
        <w:spacing w:after="0" w:before="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3FB" w:val="clear"/>
            <w:tcMar>
              <w:top w:type="dxa" w:w="120"/>
              <w:left w:type="dxa" w:w="240"/>
              <w:bottom w:type="dxa" w:w="120"/>
              <w:right w:type="dxa" w:w="240"/>
            </w:tcMar>
          </w:tcPr>
          <w:p>
            <w:pPr>
              <w:spacing w:after="80" w:before="80"/>
            </w:pPr>
            <w:r>
              <w:rPr>
                <w:rFonts w:ascii="Arial" w:cs="Arial" w:eastAsia="Arial" w:hAnsi="Arial"/>
                <w:b w:val="false"/>
                <w:bCs w:val="false"/>
                <w:i w:val="false"/>
                <w:iCs w:val="false"/>
                <w:color w:val="000000"/>
                <w:sz w:val="22"/>
                <w:szCs w:val="22"/>
              </w:rPr>
              <w:t xml:space="preserve">Forms and Check-ins keeps the team’s regular touchpoints on track. The main thing here is the monthly check-in — at a glance you can see who has completed theirs and who is still outstanding for the month. This is your prompt to follow up with anyone who is behind, so nobody goes a full month without a check-in. It is a simple accountability screen, but it is how you keep a personal connection with a remote team at scale.</w:t>
            </w:r>
          </w:p>
        </w:tc>
      </w:tr>
    </w:tbl>
    <w:p>
      <w:pPr>
        <w:spacing w:after="0" w:before="1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60"/>
              <w:left w:type="dxa" w:w="300"/>
              <w:bottom w:type="dxa" w:w="160"/>
              <w:right w:type="dxa" w:w="300"/>
            </w:tcMar>
          </w:tcPr>
          <w:p>
            <w:pPr>
              <w:spacing w:after="80" w:before="80"/>
            </w:pPr>
            <w:r>
              <w:rPr>
                <w:rFonts w:ascii="Arial" w:cs="Arial" w:eastAsia="Arial" w:hAnsi="Arial"/>
                <w:b/>
                <w:bCs/>
                <w:i w:val="false"/>
                <w:iCs w:val="false"/>
                <w:color w:val="FFFFFF"/>
                <w:sz w:val="26"/>
                <w:szCs w:val="26"/>
              </w:rPr>
              <w:t xml:space="preserve">PART 9 — CONTRACT TEMPLATE  (45 seconds)</w:t>
            </w:r>
          </w:p>
        </w:tc>
      </w:tr>
    </w:tbl>
    <w:p>
      <w:pPr>
        <w:spacing w:after="0" w:before="10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2CC" w:val="clear"/>
            <w:tcMar>
              <w:top w:type="dxa" w:w="100"/>
              <w:left w:type="dxa" w:w="180"/>
              <w:bottom w:type="dxa" w:w="100"/>
              <w:right w:type="dxa" w:w="180"/>
            </w:tcMar>
          </w:tcPr>
          <w:p>
            <w:pPr>
              <w:spacing w:after="60" w:before="60"/>
            </w:pPr>
            <w:r>
              <w:rPr>
                <w:rFonts w:ascii="Arial" w:cs="Arial" w:eastAsia="Arial" w:hAnsi="Arial"/>
                <w:b/>
                <w:bCs/>
                <w:i w:val="false"/>
                <w:iCs w:val="false"/>
                <w:color w:val="000000"/>
                <w:sz w:val="22"/>
                <w:szCs w:val="22"/>
              </w:rPr>
              <w:t xml:space="preserve">  ON SCREEN:  </w:t>
            </w:r>
            <w:r>
              <w:rPr>
                <w:rFonts w:ascii="Arial" w:cs="Arial" w:eastAsia="Arial" w:hAnsi="Arial"/>
                <w:b w:val="false"/>
                <w:bCs w:val="false"/>
                <w:i w:val="false"/>
                <w:iCs w:val="false"/>
                <w:color w:val="000000"/>
                <w:sz w:val="22"/>
                <w:szCs w:val="22"/>
              </w:rPr>
              <w:t xml:space="preserve">Click "Contract template". Show the editable contract text and the merge-field placeholders.</w:t>
            </w:r>
          </w:p>
        </w:tc>
      </w:tr>
    </w:tbl>
    <w:p>
      <w:pPr>
        <w:spacing w:after="0" w:before="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3FB" w:val="clear"/>
            <w:tcMar>
              <w:top w:type="dxa" w:w="120"/>
              <w:left w:type="dxa" w:w="240"/>
              <w:bottom w:type="dxa" w:w="120"/>
              <w:right w:type="dxa" w:w="240"/>
            </w:tcMar>
          </w:tcPr>
          <w:p>
            <w:pPr>
              <w:spacing w:after="80" w:before="80"/>
            </w:pPr>
            <w:r>
              <w:rPr>
                <w:rFonts w:ascii="Arial" w:cs="Arial" w:eastAsia="Arial" w:hAnsi="Arial"/>
                <w:b w:val="false"/>
                <w:bCs w:val="false"/>
                <w:i w:val="false"/>
                <w:iCs w:val="false"/>
                <w:color w:val="000000"/>
                <w:sz w:val="22"/>
                <w:szCs w:val="22"/>
              </w:rPr>
              <w:t xml:space="preserve">The Contract Template is the agreement every new VA signs. This is the master copy — when a candidate reaches the contract step, the system fills in their details and sends this out for electronic signature. You can edit the wording right here, and the merge fields — the placeholders that get swapped for each person’s name and details — stay intact. Change this carefully, and only when the agreement itself actually changes, because everyone going forward signs whatever is saved here.</w:t>
            </w:r>
          </w:p>
        </w:tc>
      </w:tr>
    </w:tbl>
    <w:p>
      <w:pPr>
        <w:spacing w:after="0" w:before="1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472C4" w:val="clear"/>
            <w:tcMar>
              <w:top w:type="dxa" w:w="160"/>
              <w:left w:type="dxa" w:w="300"/>
              <w:bottom w:type="dxa" w:w="160"/>
              <w:right w:type="dxa" w:w="300"/>
            </w:tcMar>
          </w:tcPr>
          <w:p>
            <w:pPr>
              <w:spacing w:after="80" w:before="80"/>
            </w:pPr>
            <w:r>
              <w:rPr>
                <w:rFonts w:ascii="Arial" w:cs="Arial" w:eastAsia="Arial" w:hAnsi="Arial"/>
                <w:b/>
                <w:bCs/>
                <w:i w:val="false"/>
                <w:iCs w:val="false"/>
                <w:color w:val="FFFFFF"/>
                <w:sz w:val="26"/>
                <w:szCs w:val="26"/>
              </w:rPr>
              <w:t xml:space="preserve">PART 10 — EMAIL SENDER  (1 minute)</w:t>
            </w:r>
          </w:p>
        </w:tc>
      </w:tr>
    </w:tbl>
    <w:p>
      <w:pPr>
        <w:spacing w:after="0" w:before="10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2CC" w:val="clear"/>
            <w:tcMar>
              <w:top w:type="dxa" w:w="100"/>
              <w:left w:type="dxa" w:w="180"/>
              <w:bottom w:type="dxa" w:w="100"/>
              <w:right w:type="dxa" w:w="180"/>
            </w:tcMar>
          </w:tcPr>
          <w:p>
            <w:pPr>
              <w:spacing w:after="60" w:before="60"/>
            </w:pPr>
            <w:r>
              <w:rPr>
                <w:rFonts w:ascii="Arial" w:cs="Arial" w:eastAsia="Arial" w:hAnsi="Arial"/>
                <w:b/>
                <w:bCs/>
                <w:i w:val="false"/>
                <w:iCs w:val="false"/>
                <w:color w:val="000000"/>
                <w:sz w:val="22"/>
                <w:szCs w:val="22"/>
              </w:rPr>
              <w:t xml:space="preserve">  ON SCREEN:  </w:t>
            </w:r>
            <w:r>
              <w:rPr>
                <w:rFonts w:ascii="Arial" w:cs="Arial" w:eastAsia="Arial" w:hAnsi="Arial"/>
                <w:b w:val="false"/>
                <w:bCs w:val="false"/>
                <w:i w:val="false"/>
                <w:iCs w:val="false"/>
                <w:color w:val="000000"/>
                <w:sz w:val="22"/>
                <w:szCs w:val="22"/>
              </w:rPr>
              <w:t xml:space="preserve">Click "Email sender". Show "Sending account" and "Email test mode". Linger on test mode.</w:t>
            </w:r>
          </w:p>
        </w:tc>
      </w:tr>
    </w:tbl>
    <w:p>
      <w:pPr>
        <w:spacing w:after="0" w:before="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3FB" w:val="clear"/>
            <w:tcMar>
              <w:top w:type="dxa" w:w="120"/>
              <w:left w:type="dxa" w:w="240"/>
              <w:bottom w:type="dxa" w:w="120"/>
              <w:right w:type="dxa" w:w="240"/>
            </w:tcMar>
          </w:tcPr>
          <w:p>
            <w:pPr>
              <w:spacing w:after="80" w:before="80"/>
            </w:pPr>
            <w:r>
              <w:rPr>
                <w:rFonts w:ascii="Arial" w:cs="Arial" w:eastAsia="Arial" w:hAnsi="Arial"/>
                <w:b w:val="false"/>
                <w:bCs w:val="false"/>
                <w:i w:val="false"/>
                <w:iCs w:val="false"/>
                <w:color w:val="000000"/>
                <w:sz w:val="22"/>
                <w:szCs w:val="22"/>
              </w:rPr>
              <w:t xml:space="preserve">Email Sender controls how the console sends email — interview invites, gate notices, contract links, all of it. Sending account shows which Gmail address those emails go out from, and there is a button to send yourself a test to confirm it is connected. Now pay close attention to Email test mode, because this one matters. While the team is trialing the app, test mode redirects every outgoing email to one test inbox instead of the real recipients — a safety net so we never accidentally email a real candidate during practice. When we are ready to go fully live, this is the switch we turn off. For now, just know it is here, and do not flip it without checking first.</w:t>
            </w:r>
          </w:p>
        </w:tc>
      </w:tr>
    </w:tbl>
    <w:p>
      <w:pPr>
        <w:spacing w:after="0" w:before="1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95959" w:val="clear"/>
            <w:tcMar>
              <w:top w:type="dxa" w:w="160"/>
              <w:left w:type="dxa" w:w="300"/>
              <w:bottom w:type="dxa" w:w="160"/>
              <w:right w:type="dxa" w:w="300"/>
            </w:tcMar>
          </w:tcPr>
          <w:p>
            <w:pPr>
              <w:spacing w:after="80" w:before="80"/>
            </w:pPr>
            <w:r>
              <w:rPr>
                <w:rFonts w:ascii="Arial" w:cs="Arial" w:eastAsia="Arial" w:hAnsi="Arial"/>
                <w:b/>
                <w:bCs/>
                <w:i w:val="false"/>
                <w:iCs w:val="false"/>
                <w:color w:val="FFFFFF"/>
                <w:sz w:val="26"/>
                <w:szCs w:val="26"/>
              </w:rPr>
              <w:t xml:space="preserve">PART 11 — RECRUITMENT &amp; THE DECISION GATES  (1 minute 30 seconds)</w:t>
            </w:r>
          </w:p>
        </w:tc>
      </w:tr>
    </w:tbl>
    <w:p>
      <w:pPr>
        <w:spacing w:after="0" w:before="10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2CC" w:val="clear"/>
            <w:tcMar>
              <w:top w:type="dxa" w:w="100"/>
              <w:left w:type="dxa" w:w="180"/>
              <w:bottom w:type="dxa" w:w="100"/>
              <w:right w:type="dxa" w:w="180"/>
            </w:tcMar>
          </w:tcPr>
          <w:p>
            <w:pPr>
              <w:spacing w:after="60" w:before="60"/>
            </w:pPr>
            <w:r>
              <w:rPr>
                <w:rFonts w:ascii="Arial" w:cs="Arial" w:eastAsia="Arial" w:hAnsi="Arial"/>
                <w:b/>
                <w:bCs/>
                <w:i w:val="false"/>
                <w:iCs w:val="false"/>
                <w:color w:val="000000"/>
                <w:sz w:val="22"/>
                <w:szCs w:val="22"/>
              </w:rPr>
              <w:t xml:space="preserve">  ON SCREEN:  </w:t>
            </w:r>
            <w:r>
              <w:rPr>
                <w:rFonts w:ascii="Arial" w:cs="Arial" w:eastAsia="Arial" w:hAnsi="Arial"/>
                <w:b w:val="false"/>
                <w:bCs w:val="false"/>
                <w:i w:val="false"/>
                <w:iCs w:val="false"/>
                <w:color w:val="000000"/>
                <w:sz w:val="22"/>
                <w:szCs w:val="22"/>
              </w:rPr>
              <w:t xml:space="preserve">Expand the Recruitment section (Pipeline, Gate reviews, Training module, Onboarding). Click "Gate reviews" and show its two parts: "Pre-trial reviews" and "10-hour gate".</w:t>
            </w:r>
          </w:p>
        </w:tc>
      </w:tr>
    </w:tbl>
    <w:p>
      <w:pPr>
        <w:spacing w:after="0" w:before="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3FB" w:val="clear"/>
            <w:tcMar>
              <w:top w:type="dxa" w:w="120"/>
              <w:left w:type="dxa" w:w="240"/>
              <w:bottom w:type="dxa" w:w="120"/>
              <w:right w:type="dxa" w:w="240"/>
            </w:tcMar>
          </w:tcPr>
          <w:p>
            <w:pPr>
              <w:spacing w:after="80" w:before="80"/>
            </w:pPr>
            <w:r>
              <w:rPr>
                <w:rFonts w:ascii="Arial" w:cs="Arial" w:eastAsia="Arial" w:hAnsi="Arial"/>
                <w:b w:val="false"/>
                <w:bCs w:val="false"/>
                <w:i w:val="false"/>
                <w:iCs w:val="false"/>
                <w:color w:val="000000"/>
                <w:sz w:val="22"/>
                <w:szCs w:val="22"/>
              </w:rPr>
              <w:t xml:space="preserve">The Recruitment section is the hiring funnel, and as HR you own the decision gates. Recruiters move applicants through the Pipeline — reviewing, interviewing, and recommending the strong ones for a paid ten-hour trial. Here is the key part: when a recruiter recommends someone, they do not go straight into the trial. They land on this Gate Reviews screen, under Pre-trial reviews, for a quick readiness check before we invest the trial hours. You approve, and the candidate gets their trial link and the training module; or you decline, and they are waitlisted. After the trial, they come back here under the 10-hour gate, where you review their work and decide. Pass them, and you mark the contract sent, then signed — which provisions their VA record — and they flow into Onboarding. The Training Module screen shows the tasks candidates complete during the trial, and Onboarding is the checklist that gets a new hire fully set up.</w:t>
            </w:r>
          </w:p>
        </w:tc>
      </w:tr>
    </w:tbl>
    <w:p>
      <w:pPr>
        <w:spacing w:after="0" w:before="1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6B3C" w:val="clear"/>
            <w:tcMar>
              <w:top w:type="dxa" w:w="160"/>
              <w:left w:type="dxa" w:w="300"/>
              <w:bottom w:type="dxa" w:w="160"/>
              <w:right w:type="dxa" w:w="300"/>
            </w:tcMar>
          </w:tcPr>
          <w:p>
            <w:pPr>
              <w:spacing w:after="80" w:before="80"/>
            </w:pPr>
            <w:r>
              <w:rPr>
                <w:rFonts w:ascii="Arial" w:cs="Arial" w:eastAsia="Arial" w:hAnsi="Arial"/>
                <w:b/>
                <w:bCs/>
                <w:i w:val="false"/>
                <w:iCs w:val="false"/>
                <w:color w:val="FFFFFF"/>
                <w:sz w:val="26"/>
                <w:szCs w:val="26"/>
              </w:rPr>
              <w:t xml:space="preserve">PART 12 — GETTING HELP &amp; WRAP-UP  (30 seconds)</w:t>
            </w:r>
          </w:p>
        </w:tc>
      </w:tr>
    </w:tbl>
    <w:p>
      <w:pPr>
        <w:spacing w:after="0" w:before="10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2CC" w:val="clear"/>
            <w:tcMar>
              <w:top w:type="dxa" w:w="100"/>
              <w:left w:type="dxa" w:w="180"/>
              <w:bottom w:type="dxa" w:w="100"/>
              <w:right w:type="dxa" w:w="180"/>
            </w:tcMar>
          </w:tcPr>
          <w:p>
            <w:pPr>
              <w:spacing w:after="60" w:before="60"/>
            </w:pPr>
            <w:r>
              <w:rPr>
                <w:rFonts w:ascii="Arial" w:cs="Arial" w:eastAsia="Arial" w:hAnsi="Arial"/>
                <w:b/>
                <w:bCs/>
                <w:i w:val="false"/>
                <w:iCs w:val="false"/>
                <w:color w:val="000000"/>
                <w:sz w:val="22"/>
                <w:szCs w:val="22"/>
              </w:rPr>
              <w:t xml:space="preserve">  ON SCREEN:  </w:t>
            </w:r>
            <w:r>
              <w:rPr>
                <w:rFonts w:ascii="Arial" w:cs="Arial" w:eastAsia="Arial" w:hAnsi="Arial"/>
                <w:b w:val="false"/>
                <w:bCs w:val="false"/>
                <w:i w:val="false"/>
                <w:iCs w:val="false"/>
                <w:color w:val="000000"/>
                <w:sz w:val="22"/>
                <w:szCs w:val="22"/>
              </w:rPr>
              <w:t xml:space="preserve">Point to the Purii assistant button in the corner, then return to the dashboard.</w:t>
            </w:r>
          </w:p>
        </w:tc>
      </w:tr>
    </w:tbl>
    <w:p>
      <w:pPr>
        <w:spacing w:after="0" w:before="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3FB" w:val="clear"/>
            <w:tcMar>
              <w:top w:type="dxa" w:w="120"/>
              <w:left w:type="dxa" w:w="240"/>
              <w:bottom w:type="dxa" w:w="120"/>
              <w:right w:type="dxa" w:w="240"/>
            </w:tcMar>
          </w:tcPr>
          <w:p>
            <w:pPr>
              <w:spacing w:after="80" w:before="80"/>
            </w:pPr>
            <w:r>
              <w:rPr>
                <w:rFonts w:ascii="Arial" w:cs="Arial" w:eastAsia="Arial" w:hAnsi="Arial"/>
                <w:b w:val="false"/>
                <w:bCs w:val="false"/>
                <w:i w:val="false"/>
                <w:iCs w:val="false"/>
                <w:color w:val="000000"/>
                <w:sz w:val="22"/>
                <w:szCs w:val="22"/>
              </w:rPr>
              <w:t xml:space="preserve">And that is the full HR console — Daily for what needs you now, Manage for your team’s records, and Recruitment for the hiring gates. If you ever get stuck, Purii — the little assistant in the corner — can answer questions about any screen and even give you a guided tour. Start each day on the dashboard, work your alerts, keep the registry accurate, and the rest of the console takes care of itself. Thanks for watching, and welcome to the team.</w:t>
            </w:r>
          </w:p>
        </w:tc>
      </w:tr>
    </w:tbl>
    <w:p>
      <w:pPr>
        <w:spacing w:after="0" w:before="16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2026-06-17T03:08:00.772Z</dcterms:created>
  <dcterms:modified xsi:type="dcterms:W3CDTF">2026-06-17T03:08:00.773Z</dcterms:modified>
</cp:coreProperties>
</file>

<file path=docProps/custom.xml><?xml version="1.0" encoding="utf-8"?>
<Properties xmlns="http://schemas.openxmlformats.org/officeDocument/2006/custom-properties" xmlns:vt="http://schemas.openxmlformats.org/officeDocument/2006/docPropsVTypes"/>
</file>