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360" w:line="283" w:lineRule="auto"/>
        <w:jc w:val="left"/>
      </w:pPr>
      <w:r>
        <w:rPr>
          <w:rFonts w:ascii="Aptos" w:hAnsi="Aptos"/>
          <w:b w:val="0"/>
          <w:i w:val="0"/>
          <w:color w:val="111318"/>
          <w:sz w:val="22"/>
        </w:rPr>
      </w:r>
    </w:p>
    <w:p>
      <w:pPr>
        <w:keepNext/>
        <w:spacing w:before="0" w:after="100" w:line="283" w:lineRule="auto"/>
        <w:jc w:val="left"/>
      </w:pPr>
      <w:r>
        <w:rPr>
          <w:rFonts w:ascii="Aptos" w:hAnsi="Aptos"/>
          <w:b/>
          <w:i w:val="0"/>
          <w:color w:val="6D5CE7"/>
          <w:sz w:val="19"/>
        </w:rPr>
        <w:t>TRUSTED AI EXTENSIBILITY</w:t>
      </w:r>
    </w:p>
    <w:p>
      <w:pPr>
        <w:spacing w:before="0" w:after="160" w:line="283" w:lineRule="auto"/>
        <w:jc w:val="left"/>
      </w:pPr>
      <w:r>
        <w:rPr>
          <w:rFonts w:ascii="Aptos" w:hAnsi="Aptos"/>
          <w:b/>
          <w:i w:val="0"/>
          <w:color w:val="18233A"/>
          <w:sz w:val="60"/>
        </w:rPr>
        <w:t>Secured MCP Registry</w:t>
      </w:r>
    </w:p>
    <w:p>
      <w:pPr>
        <w:spacing w:before="0" w:after="440" w:line="283" w:lineRule="auto"/>
        <w:jc w:val="left"/>
      </w:pPr>
      <w:r>
        <w:rPr>
          <w:rFonts w:ascii="Aptos" w:hAnsi="Aptos"/>
          <w:b w:val="0"/>
          <w:i w:val="0"/>
          <w:color w:val="5142C7"/>
          <w:sz w:val="34"/>
        </w:rPr>
        <w:t>Governed discovery. Trusted execution. Continuous assurance.</w:t>
      </w:r>
    </w:p>
    <w:p>
      <w:pPr>
        <w:spacing w:before="0" w:after="560" w:line="283" w:lineRule="auto"/>
        <w:jc w:val="left"/>
      </w:pPr>
      <w:r>
        <w:rPr>
          <w:rFonts w:ascii="Aptos" w:hAnsi="Aptos"/>
          <w:b w:val="0"/>
          <w:i w:val="0"/>
          <w:color w:val="18233A"/>
          <w:sz w:val="26"/>
        </w:rPr>
        <w:t>A security and governance control plane for publishing, discovering and using MCP services across AI agents and LLM-powered applications.</w:t>
      </w:r>
    </w:p>
    <w:tbl>
      <w:tblPr>
        <w:tblW w:type="auto" w:w="0"/>
        <w:jc w:val="center"/>
        <w:tblLayout w:type="fixed"/>
        <w:tblLook w:firstColumn="1" w:firstRow="1" w:lastColumn="0" w:lastRow="0" w:noHBand="0" w:noVBand="1" w:val="04A0"/>
      </w:tblPr>
      <w:tblGrid>
        <w:gridCol w:w="9792"/>
      </w:tblGrid>
      <w:tr>
        <w:tc>
          <w:tcPr>
            <w:tcW w:type="dxa" w:w="9120"/>
            <w:tcMar>
              <w:top w:w="160" w:type="dxa"/>
              <w:start w:w="190" w:type="dxa"/>
              <w:bottom w:w="160" w:type="dxa"/>
              <w:end w:w="190" w:type="dxa"/>
            </w:tcMar>
            <w:shd w:fill="F0EEFF"/>
            <w:vAlign w:val="center"/>
          </w:tcPr>
          <w:p>
            <w:pPr>
              <w:spacing w:after="60"/>
            </w:pPr>
            <w:r>
              <w:rPr>
                <w:rFonts w:ascii="Aptos" w:hAnsi="Aptos"/>
                <w:b/>
                <w:i w:val="0"/>
                <w:color w:val="5142C7"/>
                <w:sz w:val="24"/>
              </w:rPr>
              <w:t>Move from fragmented MCP adoption to governed innovation.</w:t>
            </w:r>
          </w:p>
          <w:p>
            <w:pPr>
              <w:spacing w:after="0" w:line="276" w:lineRule="auto"/>
            </w:pPr>
            <w:r>
              <w:rPr>
                <w:rFonts w:ascii="Aptos" w:hAnsi="Aptos"/>
                <w:b w:val="0"/>
                <w:i w:val="0"/>
                <w:color w:val="18233A"/>
                <w:sz w:val="21"/>
              </w:rPr>
              <w:t>SecureMCP helps organizations decide which publishers, services and versions may be trusted—then continues to apply policy, monitor behaviour and preserve accountability while those capabilities are used.</w:t>
            </w:r>
          </w:p>
        </w:tc>
      </w:tr>
    </w:tbl>
    <w:p>
      <w:pPr>
        <w:spacing w:before="0" w:after="60" w:line="283" w:lineRule="auto"/>
        <w:jc w:val="left"/>
      </w:pPr>
      <w:r>
        <w:rPr>
          <w:rFonts w:ascii="Aptos" w:hAnsi="Aptos"/>
          <w:b w:val="0"/>
          <w:i w:val="0"/>
          <w:color w:val="111318"/>
          <w:sz w:val="22"/>
        </w:rPr>
      </w:r>
    </w:p>
    <w:p>
      <w:pPr>
        <w:spacing w:before="0" w:after="1400" w:line="283" w:lineRule="auto"/>
        <w:jc w:val="left"/>
      </w:pPr>
      <w:r>
        <w:rPr>
          <w:rFonts w:ascii="Aptos" w:hAnsi="Aptos"/>
          <w:b w:val="0"/>
          <w:i w:val="0"/>
          <w:color w:val="111318"/>
          <w:sz w:val="22"/>
        </w:rPr>
      </w:r>
    </w:p>
    <w:p>
      <w:pPr>
        <w:spacing w:before="0" w:after="60" w:line="283" w:lineRule="auto"/>
        <w:jc w:val="left"/>
      </w:pPr>
      <w:r>
        <w:rPr>
          <w:rFonts w:ascii="Aptos" w:hAnsi="Aptos"/>
          <w:b/>
          <w:i w:val="0"/>
          <w:color w:val="5F6673"/>
          <w:sz w:val="20"/>
        </w:rPr>
        <w:t>Marketing Overview  |  July 2026</w:t>
      </w:r>
    </w:p>
    <w:p>
      <w:pPr>
        <w:spacing w:before="0" w:after="0" w:line="283" w:lineRule="auto"/>
        <w:jc w:val="left"/>
      </w:pPr>
      <w:r>
        <w:rPr>
          <w:rFonts w:ascii="Aptos" w:hAnsi="Aptos"/>
          <w:b w:val="0"/>
          <w:i w:val="0"/>
          <w:color w:val="5F6673"/>
          <w:sz w:val="20"/>
        </w:rPr>
        <w:t>PureCipher</w:t>
      </w:r>
    </w:p>
    <w:p>
      <w:r>
        <w:br w:type="page"/>
      </w:r>
    </w:p>
    <w:p>
      <w:pPr>
        <w:keepNext/>
        <w:spacing w:before="0" w:after="100" w:line="283" w:lineRule="auto"/>
        <w:jc w:val="left"/>
      </w:pPr>
      <w:r>
        <w:rPr>
          <w:rFonts w:ascii="Aptos" w:hAnsi="Aptos"/>
          <w:b/>
          <w:i w:val="0"/>
          <w:color w:val="6D5CE7"/>
          <w:sz w:val="19"/>
        </w:rPr>
        <w:t>THE OPPORTUNITY</w:t>
      </w:r>
    </w:p>
    <w:p>
      <w:pPr>
        <w:pStyle w:val="Heading1"/>
        <w:keepNext/>
        <w:spacing w:before="240" w:after="140"/>
      </w:pPr>
      <w:r>
        <w:rPr>
          <w:rFonts w:ascii="Aptos" w:hAnsi="Aptos"/>
          <w:b w:val="0"/>
          <w:i w:val="0"/>
          <w:color w:val="18233A"/>
          <w:sz w:val="38"/>
        </w:rPr>
        <w:t>AI agents are becoming more capable. Their connections must become more governable.</w:t>
      </w:r>
    </w:p>
    <w:p>
      <w:pPr>
        <w:spacing w:before="0" w:after="220" w:line="283" w:lineRule="auto"/>
        <w:jc w:val="left"/>
      </w:pPr>
      <w:r>
        <w:rPr>
          <w:rFonts w:ascii="Aptos" w:hAnsi="Aptos"/>
          <w:b w:val="0"/>
          <w:i w:val="0"/>
          <w:color w:val="111318"/>
          <w:sz w:val="22"/>
        </w:rPr>
        <w:t>Model Context Protocol makes it easier for AI applications to reach tools, APIs and enterprise systems. That speed creates value—but it also introduces a new governance question: which capabilities should an AI agent be allowed to discover and use, under what conditions, and with what evidence?</w:t>
      </w:r>
    </w:p>
    <w:p>
      <w:pPr>
        <w:pStyle w:val="Heading2"/>
        <w:keepNext/>
        <w:spacing w:before="200" w:after="100"/>
      </w:pPr>
      <w:r>
        <w:rPr>
          <w:rFonts w:ascii="Aptos" w:hAnsi="Aptos"/>
          <w:b w:val="0"/>
          <w:i w:val="0"/>
          <w:color w:val="5142C7"/>
          <w:sz w:val="28"/>
        </w:rPr>
        <w:t>The risk of unmanaged MCP adoption</w:t>
      </w:r>
    </w:p>
    <w:p>
      <w:pPr>
        <w:keepNext/>
        <w:spacing w:before="80" w:after="60"/>
      </w:pPr>
      <w:r>
        <w:rPr>
          <w:rFonts w:ascii="Aptos" w:hAnsi="Aptos"/>
          <w:b/>
          <w:i w:val="0"/>
          <w:color w:val="6D5CE7"/>
          <w:sz w:val="25"/>
        </w:rPr>
        <w:t xml:space="preserve">1. </w:t>
      </w:r>
      <w:r>
        <w:rPr>
          <w:rFonts w:ascii="Aptos" w:hAnsi="Aptos"/>
          <w:b/>
          <w:i w:val="0"/>
          <w:color w:val="18233A"/>
          <w:sz w:val="25"/>
        </w:rPr>
        <w:t>Unknown trust</w:t>
      </w:r>
    </w:p>
    <w:p>
      <w:pPr>
        <w:spacing w:before="0" w:after="140" w:line="283" w:lineRule="auto"/>
        <w:jc w:val="left"/>
      </w:pPr>
      <w:r>
        <w:rPr>
          <w:rFonts w:ascii="Aptos" w:hAnsi="Aptos"/>
          <w:b w:val="0"/>
          <w:i w:val="0"/>
          <w:color w:val="111318"/>
          <w:sz w:val="21"/>
        </w:rPr>
        <w:t>A useful server can still have an unclear publisher, unreviewed version or excessive permissions.</w:t>
      </w:r>
    </w:p>
    <w:p>
      <w:pPr>
        <w:keepNext/>
        <w:spacing w:before="80" w:after="60"/>
      </w:pPr>
      <w:r>
        <w:rPr>
          <w:rFonts w:ascii="Aptos" w:hAnsi="Aptos"/>
          <w:b/>
          <w:i w:val="0"/>
          <w:color w:val="6D5CE7"/>
          <w:sz w:val="25"/>
        </w:rPr>
        <w:t xml:space="preserve">2. </w:t>
      </w:r>
      <w:r>
        <w:rPr>
          <w:rFonts w:ascii="Aptos" w:hAnsi="Aptos"/>
          <w:b/>
          <w:i w:val="0"/>
          <w:color w:val="18233A"/>
          <w:sz w:val="25"/>
        </w:rPr>
        <w:t>Fragmented control</w:t>
      </w:r>
    </w:p>
    <w:p>
      <w:pPr>
        <w:spacing w:before="0" w:after="140" w:line="283" w:lineRule="auto"/>
        <w:jc w:val="left"/>
      </w:pPr>
      <w:r>
        <w:rPr>
          <w:rFonts w:ascii="Aptos" w:hAnsi="Aptos"/>
          <w:b w:val="0"/>
          <w:i w:val="0"/>
          <w:color w:val="111318"/>
          <w:sz w:val="21"/>
        </w:rPr>
        <w:t>Teams can configure MCP services independently, creating inconsistent approval and security practices.</w:t>
      </w:r>
    </w:p>
    <w:p>
      <w:pPr>
        <w:keepNext/>
        <w:spacing w:before="80" w:after="60"/>
      </w:pPr>
      <w:r>
        <w:rPr>
          <w:rFonts w:ascii="Aptos" w:hAnsi="Aptos"/>
          <w:b/>
          <w:i w:val="0"/>
          <w:color w:val="6D5CE7"/>
          <w:sz w:val="25"/>
        </w:rPr>
        <w:t xml:space="preserve">3. </w:t>
      </w:r>
      <w:r>
        <w:rPr>
          <w:rFonts w:ascii="Aptos" w:hAnsi="Aptos"/>
          <w:b/>
          <w:i w:val="0"/>
          <w:color w:val="18233A"/>
          <w:sz w:val="25"/>
        </w:rPr>
        <w:t>Static decisions</w:t>
      </w:r>
    </w:p>
    <w:p>
      <w:pPr>
        <w:spacing w:before="0" w:after="140" w:line="283" w:lineRule="auto"/>
        <w:jc w:val="left"/>
      </w:pPr>
      <w:r>
        <w:rPr>
          <w:rFonts w:ascii="Aptos" w:hAnsi="Aptos"/>
          <w:b w:val="0"/>
          <w:i w:val="0"/>
          <w:color w:val="111318"/>
          <w:sz w:val="21"/>
        </w:rPr>
        <w:t>A service that was safe at installation may become risky as context, behaviour or credentials change.</w:t>
      </w:r>
    </w:p>
    <w:p>
      <w:pPr>
        <w:keepNext/>
        <w:spacing w:before="80" w:after="60"/>
      </w:pPr>
      <w:r>
        <w:rPr>
          <w:rFonts w:ascii="Aptos" w:hAnsi="Aptos"/>
          <w:b/>
          <w:i w:val="0"/>
          <w:color w:val="6D5CE7"/>
          <w:sz w:val="25"/>
        </w:rPr>
        <w:t xml:space="preserve">4. </w:t>
      </w:r>
      <w:r>
        <w:rPr>
          <w:rFonts w:ascii="Aptos" w:hAnsi="Aptos"/>
          <w:b/>
          <w:i w:val="0"/>
          <w:color w:val="18233A"/>
          <w:sz w:val="25"/>
        </w:rPr>
        <w:t>Limited accountability</w:t>
      </w:r>
    </w:p>
    <w:p>
      <w:pPr>
        <w:spacing w:before="0" w:after="140" w:line="283" w:lineRule="auto"/>
        <w:jc w:val="left"/>
      </w:pPr>
      <w:r>
        <w:rPr>
          <w:rFonts w:ascii="Aptos" w:hAnsi="Aptos"/>
          <w:b w:val="0"/>
          <w:i w:val="0"/>
          <w:color w:val="111318"/>
          <w:sz w:val="21"/>
        </w:rPr>
        <w:t>Without common provenance and audit records, important actions are harder to explain and investigate.</w:t>
      </w:r>
    </w:p>
    <w:tbl>
      <w:tblPr>
        <w:tblW w:type="auto" w:w="0"/>
        <w:jc w:val="center"/>
        <w:tblLayout w:type="fixed"/>
        <w:tblLook w:firstColumn="1" w:firstRow="1" w:lastColumn="0" w:lastRow="0" w:noHBand="0" w:noVBand="1" w:val="04A0"/>
      </w:tblPr>
      <w:tblGrid>
        <w:gridCol w:w="9792"/>
      </w:tblGrid>
      <w:tr>
        <w:tc>
          <w:tcPr>
            <w:tcW w:type="dxa" w:w="9120"/>
            <w:tcMar>
              <w:top w:w="160" w:type="dxa"/>
              <w:start w:w="190" w:type="dxa"/>
              <w:bottom w:w="160" w:type="dxa"/>
              <w:end w:w="190" w:type="dxa"/>
            </w:tcMar>
            <w:shd w:fill="F6F7FB"/>
            <w:vAlign w:val="center"/>
          </w:tcPr>
          <w:p>
            <w:pPr>
              <w:spacing w:after="60"/>
            </w:pPr>
            <w:r>
              <w:rPr>
                <w:rFonts w:ascii="Aptos" w:hAnsi="Aptos"/>
                <w:b/>
                <w:i w:val="0"/>
                <w:color w:val="5142C7"/>
                <w:sz w:val="24"/>
              </w:rPr>
              <w:t>SecureMCP turns trust into an operating model.</w:t>
            </w:r>
          </w:p>
          <w:p>
            <w:pPr>
              <w:spacing w:after="0" w:line="276" w:lineRule="auto"/>
            </w:pPr>
            <w:r>
              <w:rPr>
                <w:rFonts w:ascii="Aptos" w:hAnsi="Aptos"/>
                <w:b w:val="0"/>
                <w:i w:val="0"/>
                <w:color w:val="18233A"/>
                <w:sz w:val="21"/>
              </w:rPr>
              <w:t>It combines a governed registry with verification, policy, consent, runtime protection, lifecycle control and auditable evidence.</w:t>
            </w:r>
          </w:p>
        </w:tc>
      </w:tr>
    </w:tbl>
    <w:p>
      <w:pPr>
        <w:spacing w:before="0" w:after="60" w:line="283" w:lineRule="auto"/>
        <w:jc w:val="left"/>
      </w:pPr>
      <w:r>
        <w:rPr>
          <w:rFonts w:ascii="Aptos" w:hAnsi="Aptos"/>
          <w:b w:val="0"/>
          <w:i w:val="0"/>
          <w:color w:val="111318"/>
          <w:sz w:val="22"/>
        </w:rPr>
      </w:r>
    </w:p>
    <w:p>
      <w:r>
        <w:br w:type="page"/>
      </w:r>
    </w:p>
    <w:p>
      <w:pPr>
        <w:keepNext/>
        <w:spacing w:before="0" w:after="100" w:line="283" w:lineRule="auto"/>
        <w:jc w:val="left"/>
      </w:pPr>
      <w:r>
        <w:rPr>
          <w:rFonts w:ascii="Aptos" w:hAnsi="Aptos"/>
          <w:b/>
          <w:i w:val="0"/>
          <w:color w:val="6D5CE7"/>
          <w:sz w:val="19"/>
        </w:rPr>
        <w:t>HOW IT WORKS</w:t>
      </w:r>
    </w:p>
    <w:p>
      <w:pPr>
        <w:pStyle w:val="Heading1"/>
        <w:keepNext/>
        <w:spacing w:before="240" w:after="140"/>
      </w:pPr>
      <w:r>
        <w:rPr>
          <w:rFonts w:ascii="Aptos" w:hAnsi="Aptos"/>
          <w:b w:val="0"/>
          <w:i w:val="0"/>
          <w:color w:val="18233A"/>
          <w:sz w:val="38"/>
        </w:rPr>
        <w:t>A simple path from publication to continuous assurance</w:t>
      </w:r>
    </w:p>
    <w:p>
      <w:pPr>
        <w:spacing w:before="0" w:after="160" w:line="283" w:lineRule="auto"/>
        <w:jc w:val="left"/>
      </w:pPr>
      <w:r>
        <w:rPr>
          <w:rFonts w:ascii="Aptos" w:hAnsi="Aptos"/>
          <w:b w:val="0"/>
          <w:i w:val="0"/>
          <w:color w:val="111318"/>
          <w:sz w:val="22"/>
        </w:rPr>
        <w:t>SecureMCP creates one governed journey for publishers, AI applications and security teams.</w:t>
      </w:r>
    </w:p>
    <w:p>
      <w:pPr>
        <w:spacing w:before="120" w:after="160"/>
        <w:jc w:val="center"/>
      </w:pPr>
      <w:r>
        <w:drawing>
          <wp:inline xmlns:a="http://schemas.openxmlformats.org/drawingml/2006/main" xmlns:pic="http://schemas.openxmlformats.org/drawingml/2006/picture">
            <wp:extent cx="5989320" cy="2834232"/>
            <wp:docPr id="1" name="Picture 1"/>
            <wp:cNvGraphicFramePr>
              <a:graphicFrameLocks noChangeAspect="1"/>
            </wp:cNvGraphicFramePr>
            <a:graphic>
              <a:graphicData uri="http://schemas.openxmlformats.org/drawingml/2006/picture">
                <pic:pic>
                  <pic:nvPicPr>
                    <pic:cNvPr id="0" name="secured-mcp-high-level-flow.png"/>
                    <pic:cNvPicPr/>
                  </pic:nvPicPr>
                  <pic:blipFill>
                    <a:blip r:embed="rId11"/>
                    <a:stretch>
                      <a:fillRect/>
                    </a:stretch>
                  </pic:blipFill>
                  <pic:spPr>
                    <a:xfrm>
                      <a:off x="0" y="0"/>
                      <a:ext cx="5989320" cy="2834232"/>
                    </a:xfrm>
                    <a:prstGeom prst="rect"/>
                  </pic:spPr>
                </pic:pic>
              </a:graphicData>
            </a:graphic>
          </wp:inline>
        </w:drawing>
      </w:r>
    </w:p>
    <w:p>
      <w:pPr>
        <w:keepNext/>
        <w:spacing w:before="80" w:after="60"/>
      </w:pPr>
      <w:r>
        <w:rPr>
          <w:rFonts w:ascii="Aptos" w:hAnsi="Aptos"/>
          <w:b/>
          <w:i w:val="0"/>
          <w:color w:val="6D5CE7"/>
          <w:sz w:val="25"/>
        </w:rPr>
        <w:t xml:space="preserve">1. </w:t>
      </w:r>
      <w:r>
        <w:rPr>
          <w:rFonts w:ascii="Aptos" w:hAnsi="Aptos"/>
          <w:b/>
          <w:i w:val="0"/>
          <w:color w:val="18233A"/>
          <w:sz w:val="25"/>
        </w:rPr>
        <w:t>Publish</w:t>
      </w:r>
    </w:p>
    <w:p>
      <w:pPr>
        <w:spacing w:before="0" w:after="140" w:line="283" w:lineRule="auto"/>
        <w:jc w:val="left"/>
      </w:pPr>
      <w:r>
        <w:rPr>
          <w:rFonts w:ascii="Aptos" w:hAnsi="Aptos"/>
          <w:b w:val="0"/>
          <w:i w:val="0"/>
          <w:color w:val="111318"/>
          <w:sz w:val="21"/>
        </w:rPr>
        <w:t>A publisher submits an MCP service with ownership, purpose, permissions and version information.</w:t>
      </w:r>
    </w:p>
    <w:p>
      <w:pPr>
        <w:keepNext/>
        <w:spacing w:before="80" w:after="60"/>
      </w:pPr>
      <w:r>
        <w:rPr>
          <w:rFonts w:ascii="Aptos" w:hAnsi="Aptos"/>
          <w:b/>
          <w:i w:val="0"/>
          <w:color w:val="6D5CE7"/>
          <w:sz w:val="25"/>
        </w:rPr>
        <w:t xml:space="preserve">2. </w:t>
      </w:r>
      <w:r>
        <w:rPr>
          <w:rFonts w:ascii="Aptos" w:hAnsi="Aptos"/>
          <w:b/>
          <w:i w:val="0"/>
          <w:color w:val="18233A"/>
          <w:sz w:val="25"/>
        </w:rPr>
        <w:t>Verify and approve</w:t>
      </w:r>
    </w:p>
    <w:p>
      <w:pPr>
        <w:spacing w:before="0" w:after="140" w:line="283" w:lineRule="auto"/>
        <w:jc w:val="left"/>
      </w:pPr>
      <w:r>
        <w:rPr>
          <w:rFonts w:ascii="Aptos" w:hAnsi="Aptos"/>
          <w:b w:val="0"/>
          <w:i w:val="0"/>
          <w:color w:val="111318"/>
          <w:sz w:val="21"/>
        </w:rPr>
        <w:t>Identity, safety evidence, certification and organizational requirements are checked.</w:t>
      </w:r>
    </w:p>
    <w:p>
      <w:pPr>
        <w:keepNext/>
        <w:spacing w:before="80" w:after="60"/>
      </w:pPr>
      <w:r>
        <w:rPr>
          <w:rFonts w:ascii="Aptos" w:hAnsi="Aptos"/>
          <w:b/>
          <w:i w:val="0"/>
          <w:color w:val="6D5CE7"/>
          <w:sz w:val="25"/>
        </w:rPr>
        <w:t xml:space="preserve">3. </w:t>
      </w:r>
      <w:r>
        <w:rPr>
          <w:rFonts w:ascii="Aptos" w:hAnsi="Aptos"/>
          <w:b/>
          <w:i w:val="0"/>
          <w:color w:val="18233A"/>
          <w:sz w:val="25"/>
        </w:rPr>
        <w:t>Discover</w:t>
      </w:r>
    </w:p>
    <w:p>
      <w:pPr>
        <w:spacing w:before="0" w:after="140" w:line="283" w:lineRule="auto"/>
        <w:jc w:val="left"/>
      </w:pPr>
      <w:r>
        <w:rPr>
          <w:rFonts w:ascii="Aptos" w:hAnsi="Aptos"/>
          <w:b w:val="0"/>
          <w:i w:val="0"/>
          <w:color w:val="111318"/>
          <w:sz w:val="21"/>
        </w:rPr>
        <w:t>Eligible AI agents and applications find approved capabilities through a trusted catalogue.</w:t>
      </w:r>
    </w:p>
    <w:p>
      <w:pPr>
        <w:keepNext/>
        <w:spacing w:before="80" w:after="60"/>
      </w:pPr>
      <w:r>
        <w:rPr>
          <w:rFonts w:ascii="Aptos" w:hAnsi="Aptos"/>
          <w:b/>
          <w:i w:val="0"/>
          <w:color w:val="6D5CE7"/>
          <w:sz w:val="25"/>
        </w:rPr>
        <w:t xml:space="preserve">4. </w:t>
      </w:r>
      <w:r>
        <w:rPr>
          <w:rFonts w:ascii="Aptos" w:hAnsi="Aptos"/>
          <w:b/>
          <w:i w:val="0"/>
          <w:color w:val="18233A"/>
          <w:sz w:val="25"/>
        </w:rPr>
        <w:t>Use safely</w:t>
      </w:r>
    </w:p>
    <w:p>
      <w:pPr>
        <w:spacing w:before="0" w:after="140" w:line="283" w:lineRule="auto"/>
        <w:jc w:val="left"/>
      </w:pPr>
      <w:r>
        <w:rPr>
          <w:rFonts w:ascii="Aptos" w:hAnsi="Aptos"/>
          <w:b w:val="0"/>
          <w:i w:val="0"/>
          <w:color w:val="111318"/>
          <w:sz w:val="21"/>
        </w:rPr>
        <w:t>The MCP Client connects to the approved server while policy and consent govern the requested action.</w:t>
      </w:r>
    </w:p>
    <w:p>
      <w:pPr>
        <w:keepNext/>
        <w:spacing w:before="80" w:after="60"/>
      </w:pPr>
      <w:r>
        <w:rPr>
          <w:rFonts w:ascii="Aptos" w:hAnsi="Aptos"/>
          <w:b/>
          <w:i w:val="0"/>
          <w:color w:val="6D5CE7"/>
          <w:sz w:val="25"/>
        </w:rPr>
        <w:t xml:space="preserve">5. </w:t>
      </w:r>
      <w:r>
        <w:rPr>
          <w:rFonts w:ascii="Aptos" w:hAnsi="Aptos"/>
          <w:b/>
          <w:i w:val="0"/>
          <w:color w:val="18233A"/>
          <w:sz w:val="25"/>
        </w:rPr>
        <w:t>Monitor and adapt</w:t>
      </w:r>
    </w:p>
    <w:p>
      <w:pPr>
        <w:spacing w:before="0" w:after="140" w:line="283" w:lineRule="auto"/>
        <w:jc w:val="left"/>
      </w:pPr>
      <w:r>
        <w:rPr>
          <w:rFonts w:ascii="Aptos" w:hAnsi="Aptos"/>
          <w:b w:val="0"/>
          <w:i w:val="0"/>
          <w:color w:val="111318"/>
          <w:sz w:val="21"/>
        </w:rPr>
        <w:t>SecureMCP records activity and can allow, restrict, require approval or stop access as risk changes.</w:t>
      </w:r>
    </w:p>
    <w:p>
      <w:r>
        <w:br w:type="page"/>
      </w:r>
    </w:p>
    <w:p>
      <w:pPr>
        <w:keepNext/>
        <w:spacing w:before="0" w:after="100" w:line="283" w:lineRule="auto"/>
        <w:jc w:val="left"/>
      </w:pPr>
      <w:r>
        <w:rPr>
          <w:rFonts w:ascii="Aptos" w:hAnsi="Aptos"/>
          <w:b/>
          <w:i w:val="0"/>
          <w:color w:val="6D5CE7"/>
          <w:sz w:val="19"/>
        </w:rPr>
        <w:t>WHY SECUREMCP</w:t>
      </w:r>
    </w:p>
    <w:p>
      <w:pPr>
        <w:pStyle w:val="Heading1"/>
        <w:keepNext/>
        <w:spacing w:before="240" w:after="140"/>
      </w:pPr>
      <w:r>
        <w:rPr>
          <w:rFonts w:ascii="Aptos" w:hAnsi="Aptos"/>
          <w:b w:val="0"/>
          <w:i w:val="0"/>
          <w:color w:val="18233A"/>
          <w:sz w:val="38"/>
        </w:rPr>
        <w:t>More than a directory: a governed control plane for MCP</w:t>
      </w:r>
    </w:p>
    <w:p>
      <w:pPr>
        <w:keepNext/>
        <w:spacing w:before="80" w:after="60"/>
      </w:pPr>
      <w:r>
        <w:rPr>
          <w:rFonts w:ascii="Aptos" w:hAnsi="Aptos"/>
          <w:b/>
          <w:i w:val="0"/>
          <w:color w:val="6D5CE7"/>
          <w:sz w:val="25"/>
        </w:rPr>
        <w:t xml:space="preserve">1. </w:t>
      </w:r>
      <w:r>
        <w:rPr>
          <w:rFonts w:ascii="Aptos" w:hAnsi="Aptos"/>
          <w:b/>
          <w:i w:val="0"/>
          <w:color w:val="18233A"/>
          <w:sz w:val="25"/>
        </w:rPr>
        <w:t>Trust before discovery</w:t>
      </w:r>
    </w:p>
    <w:p>
      <w:pPr>
        <w:spacing w:before="0" w:after="140" w:line="283" w:lineRule="auto"/>
        <w:jc w:val="left"/>
      </w:pPr>
      <w:r>
        <w:rPr>
          <w:rFonts w:ascii="Aptos" w:hAnsi="Aptos"/>
          <w:b w:val="0"/>
          <w:i w:val="0"/>
          <w:color w:val="111318"/>
          <w:sz w:val="21"/>
        </w:rPr>
        <w:t>Only approved publishers, services and versions become visible to the intended users and agents.</w:t>
      </w:r>
    </w:p>
    <w:p>
      <w:pPr>
        <w:keepNext/>
        <w:spacing w:before="80" w:after="60"/>
      </w:pPr>
      <w:r>
        <w:rPr>
          <w:rFonts w:ascii="Aptos" w:hAnsi="Aptos"/>
          <w:b/>
          <w:i w:val="0"/>
          <w:color w:val="6D5CE7"/>
          <w:sz w:val="25"/>
        </w:rPr>
        <w:t xml:space="preserve">2. </w:t>
      </w:r>
      <w:r>
        <w:rPr>
          <w:rFonts w:ascii="Aptos" w:hAnsi="Aptos"/>
          <w:b/>
          <w:i w:val="0"/>
          <w:color w:val="18233A"/>
          <w:sz w:val="25"/>
        </w:rPr>
        <w:t>Policy during execution</w:t>
      </w:r>
    </w:p>
    <w:p>
      <w:pPr>
        <w:spacing w:before="0" w:after="140" w:line="283" w:lineRule="auto"/>
        <w:jc w:val="left"/>
      </w:pPr>
      <w:r>
        <w:rPr>
          <w:rFonts w:ascii="Aptos" w:hAnsi="Aptos"/>
          <w:b w:val="0"/>
          <w:i w:val="0"/>
          <w:color w:val="111318"/>
          <w:sz w:val="21"/>
        </w:rPr>
        <w:t>A discoverable service can still be limited by user, agent, purpose, environment, data sensitivity or action risk.</w:t>
      </w:r>
    </w:p>
    <w:p>
      <w:pPr>
        <w:keepNext/>
        <w:spacing w:before="80" w:after="60"/>
      </w:pPr>
      <w:r>
        <w:rPr>
          <w:rFonts w:ascii="Aptos" w:hAnsi="Aptos"/>
          <w:b/>
          <w:i w:val="0"/>
          <w:color w:val="6D5CE7"/>
          <w:sz w:val="25"/>
        </w:rPr>
        <w:t xml:space="preserve">3. </w:t>
      </w:r>
      <w:r>
        <w:rPr>
          <w:rFonts w:ascii="Aptos" w:hAnsi="Aptos"/>
          <w:b/>
          <w:i w:val="0"/>
          <w:color w:val="18233A"/>
          <w:sz w:val="25"/>
        </w:rPr>
        <w:t>Consent and contracts</w:t>
      </w:r>
    </w:p>
    <w:p>
      <w:pPr>
        <w:spacing w:before="0" w:after="140" w:line="283" w:lineRule="auto"/>
        <w:jc w:val="left"/>
      </w:pPr>
      <w:r>
        <w:rPr>
          <w:rFonts w:ascii="Aptos" w:hAnsi="Aptos"/>
          <w:b w:val="0"/>
          <w:i w:val="0"/>
          <w:color w:val="111318"/>
          <w:sz w:val="21"/>
        </w:rPr>
        <w:t>Access reflects explicit authority and an agreed purpose—not installation alone.</w:t>
      </w:r>
    </w:p>
    <w:p>
      <w:pPr>
        <w:keepNext/>
        <w:spacing w:before="80" w:after="60"/>
      </w:pPr>
      <w:r>
        <w:rPr>
          <w:rFonts w:ascii="Aptos" w:hAnsi="Aptos"/>
          <w:b/>
          <w:i w:val="0"/>
          <w:color w:val="6D5CE7"/>
          <w:sz w:val="25"/>
        </w:rPr>
        <w:t xml:space="preserve">4. </w:t>
      </w:r>
      <w:r>
        <w:rPr>
          <w:rFonts w:ascii="Aptos" w:hAnsi="Aptos"/>
          <w:b/>
          <w:i w:val="0"/>
          <w:color w:val="18233A"/>
          <w:sz w:val="25"/>
        </w:rPr>
        <w:t>Reflexive protection</w:t>
      </w:r>
    </w:p>
    <w:p>
      <w:pPr>
        <w:spacing w:before="0" w:after="140" w:line="283" w:lineRule="auto"/>
        <w:jc w:val="left"/>
      </w:pPr>
      <w:r>
        <w:rPr>
          <w:rFonts w:ascii="Aptos" w:hAnsi="Aptos"/>
          <w:b w:val="0"/>
          <w:i w:val="0"/>
          <w:color w:val="111318"/>
          <w:sz w:val="21"/>
        </w:rPr>
        <w:t>The Reflexive Core compares current activity with expected behaviour and adapts the response when risk changes.</w:t>
      </w:r>
    </w:p>
    <w:p>
      <w:pPr>
        <w:keepNext/>
        <w:spacing w:before="80" w:after="60"/>
      </w:pPr>
      <w:r>
        <w:rPr>
          <w:rFonts w:ascii="Aptos" w:hAnsi="Aptos"/>
          <w:b/>
          <w:i w:val="0"/>
          <w:color w:val="6D5CE7"/>
          <w:sz w:val="25"/>
        </w:rPr>
        <w:t xml:space="preserve">5. </w:t>
      </w:r>
      <w:r>
        <w:rPr>
          <w:rFonts w:ascii="Aptos" w:hAnsi="Aptos"/>
          <w:b/>
          <w:i w:val="0"/>
          <w:color w:val="18233A"/>
          <w:sz w:val="25"/>
        </w:rPr>
        <w:t>Traceable accountability</w:t>
      </w:r>
    </w:p>
    <w:p>
      <w:pPr>
        <w:spacing w:before="0" w:after="140" w:line="283" w:lineRule="auto"/>
        <w:jc w:val="left"/>
      </w:pPr>
      <w:r>
        <w:rPr>
          <w:rFonts w:ascii="Aptos" w:hAnsi="Aptos"/>
          <w:b w:val="0"/>
          <w:i w:val="0"/>
          <w:color w:val="111318"/>
          <w:sz w:val="21"/>
        </w:rPr>
        <w:t>Provenance, audit, alerts and compliance evidence preserve who requested what, why a decision was made and what happened.</w:t>
      </w:r>
    </w:p>
    <w:p>
      <w:pPr>
        <w:keepNext/>
        <w:spacing w:before="80" w:after="60"/>
      </w:pPr>
      <w:r>
        <w:rPr>
          <w:rFonts w:ascii="Aptos" w:hAnsi="Aptos"/>
          <w:b/>
          <w:i w:val="0"/>
          <w:color w:val="6D5CE7"/>
          <w:sz w:val="25"/>
        </w:rPr>
        <w:t xml:space="preserve">6. </w:t>
      </w:r>
      <w:r>
        <w:rPr>
          <w:rFonts w:ascii="Aptos" w:hAnsi="Aptos"/>
          <w:b/>
          <w:i w:val="0"/>
          <w:color w:val="18233A"/>
          <w:sz w:val="25"/>
        </w:rPr>
        <w:t>Lifecycle enforcement</w:t>
      </w:r>
    </w:p>
    <w:p>
      <w:pPr>
        <w:spacing w:before="0" w:after="140" w:line="283" w:lineRule="auto"/>
        <w:jc w:val="left"/>
      </w:pPr>
      <w:r>
        <w:rPr>
          <w:rFonts w:ascii="Aptos" w:hAnsi="Aptos"/>
          <w:b w:val="0"/>
          <w:i w:val="0"/>
          <w:color w:val="111318"/>
          <w:sz w:val="21"/>
        </w:rPr>
        <w:t>Organizations can approve, suspend, revoke, deprecate or retire services and versions across their lifecycle.</w:t>
      </w:r>
    </w:p>
    <w:p>
      <w:pPr>
        <w:pStyle w:val="Heading2"/>
        <w:keepNext/>
        <w:spacing w:before="200" w:after="100"/>
      </w:pPr>
      <w:r>
        <w:rPr>
          <w:rFonts w:ascii="Aptos" w:hAnsi="Aptos"/>
          <w:b w:val="0"/>
          <w:i w:val="0"/>
          <w:color w:val="5142C7"/>
          <w:sz w:val="28"/>
        </w:rPr>
        <w:t>The business result</w:t>
      </w:r>
    </w:p>
    <w:tbl>
      <w:tblPr>
        <w:tblW w:type="auto" w:w="0"/>
        <w:jc w:val="center"/>
        <w:tblLayout w:type="fixed"/>
        <w:tblLook w:firstColumn="1" w:firstRow="1" w:lastColumn="0" w:lastRow="0" w:noHBand="0" w:noVBand="1" w:val="04A0"/>
      </w:tblPr>
      <w:tblGrid>
        <w:gridCol w:w="9792"/>
      </w:tblGrid>
      <w:tr>
        <w:tc>
          <w:tcPr>
            <w:tcW w:type="dxa" w:w="9120"/>
            <w:tcMar>
              <w:top w:w="160" w:type="dxa"/>
              <w:start w:w="190" w:type="dxa"/>
              <w:bottom w:w="160" w:type="dxa"/>
              <w:end w:w="190" w:type="dxa"/>
            </w:tcMar>
            <w:shd w:fill="F0EEFF"/>
            <w:vAlign w:val="center"/>
          </w:tcPr>
          <w:p>
            <w:pPr>
              <w:spacing w:after="60"/>
            </w:pPr>
            <w:r>
              <w:rPr>
                <w:rFonts w:ascii="Aptos" w:hAnsi="Aptos"/>
                <w:b/>
                <w:i w:val="0"/>
                <w:color w:val="5142C7"/>
                <w:sz w:val="24"/>
              </w:rPr>
              <w:t>Faster adoption with clearer control</w:t>
            </w:r>
          </w:p>
          <w:p>
            <w:pPr>
              <w:spacing w:after="0" w:line="276" w:lineRule="auto"/>
            </w:pPr>
            <w:r>
              <w:rPr>
                <w:rFonts w:ascii="Aptos" w:hAnsi="Aptos"/>
                <w:b w:val="0"/>
                <w:i w:val="0"/>
                <w:color w:val="18233A"/>
                <w:sz w:val="21"/>
              </w:rPr>
              <w:t>Developers and business teams gain access to approved capabilities without repeating the same security review, while risk and governance teams retain a strategic control point.</w:t>
            </w:r>
          </w:p>
        </w:tc>
      </w:tr>
    </w:tbl>
    <w:p>
      <w:pPr>
        <w:spacing w:before="0" w:after="60" w:line="283" w:lineRule="auto"/>
        <w:jc w:val="left"/>
      </w:pPr>
      <w:r>
        <w:rPr>
          <w:rFonts w:ascii="Aptos" w:hAnsi="Aptos"/>
          <w:b w:val="0"/>
          <w:i w:val="0"/>
          <w:color w:val="111318"/>
          <w:sz w:val="22"/>
        </w:rPr>
      </w:r>
    </w:p>
    <w:p>
      <w:r>
        <w:br w:type="page"/>
      </w:r>
    </w:p>
    <w:p>
      <w:pPr>
        <w:keepNext/>
        <w:spacing w:before="0" w:after="100" w:line="283" w:lineRule="auto"/>
        <w:jc w:val="left"/>
      </w:pPr>
      <w:r>
        <w:rPr>
          <w:rFonts w:ascii="Aptos" w:hAnsi="Aptos"/>
          <w:b/>
          <w:i w:val="0"/>
          <w:color w:val="6D5CE7"/>
          <w:sz w:val="19"/>
        </w:rPr>
        <w:t>BUSINESS VALUE</w:t>
      </w:r>
    </w:p>
    <w:p>
      <w:pPr>
        <w:pStyle w:val="Heading1"/>
        <w:keepNext/>
        <w:spacing w:before="240" w:after="140"/>
      </w:pPr>
      <w:r>
        <w:rPr>
          <w:rFonts w:ascii="Aptos" w:hAnsi="Aptos"/>
          <w:b w:val="0"/>
          <w:i w:val="0"/>
          <w:color w:val="18233A"/>
          <w:sz w:val="38"/>
        </w:rPr>
        <w:t>What organizations gain</w:t>
      </w:r>
    </w:p>
    <w:p>
      <w:pPr>
        <w:keepNext/>
        <w:spacing w:before="80" w:after="60"/>
      </w:pPr>
      <w:r>
        <w:rPr>
          <w:rFonts w:ascii="Aptos" w:hAnsi="Aptos"/>
          <w:b/>
          <w:i w:val="0"/>
          <w:color w:val="6D5CE7"/>
          <w:sz w:val="25"/>
        </w:rPr>
        <w:t xml:space="preserve">1. </w:t>
      </w:r>
      <w:r>
        <w:rPr>
          <w:rFonts w:ascii="Aptos" w:hAnsi="Aptos"/>
          <w:b/>
          <w:i w:val="0"/>
          <w:color w:val="18233A"/>
          <w:sz w:val="25"/>
        </w:rPr>
        <w:t>Accelerated innovation</w:t>
      </w:r>
    </w:p>
    <w:p>
      <w:pPr>
        <w:spacing w:before="0" w:after="140" w:line="283" w:lineRule="auto"/>
        <w:jc w:val="left"/>
      </w:pPr>
      <w:r>
        <w:rPr>
          <w:rFonts w:ascii="Aptos" w:hAnsi="Aptos"/>
          <w:b w:val="0"/>
          <w:i w:val="0"/>
          <w:color w:val="111318"/>
          <w:sz w:val="21"/>
        </w:rPr>
        <w:t>Publishers and internal teams can bring trusted MCP capabilities to users faster.</w:t>
      </w:r>
    </w:p>
    <w:p>
      <w:pPr>
        <w:keepNext/>
        <w:spacing w:before="80" w:after="60"/>
      </w:pPr>
      <w:r>
        <w:rPr>
          <w:rFonts w:ascii="Aptos" w:hAnsi="Aptos"/>
          <w:b/>
          <w:i w:val="0"/>
          <w:color w:val="6D5CE7"/>
          <w:sz w:val="25"/>
        </w:rPr>
        <w:t xml:space="preserve">2. </w:t>
      </w:r>
      <w:r>
        <w:rPr>
          <w:rFonts w:ascii="Aptos" w:hAnsi="Aptos"/>
          <w:b/>
          <w:i w:val="0"/>
          <w:color w:val="18233A"/>
          <w:sz w:val="25"/>
        </w:rPr>
        <w:t>Reduced integration risk</w:t>
      </w:r>
    </w:p>
    <w:p>
      <w:pPr>
        <w:spacing w:before="0" w:after="140" w:line="283" w:lineRule="auto"/>
        <w:jc w:val="left"/>
      </w:pPr>
      <w:r>
        <w:rPr>
          <w:rFonts w:ascii="Aptos" w:hAnsi="Aptos"/>
          <w:b w:val="0"/>
          <w:i w:val="0"/>
          <w:color w:val="111318"/>
          <w:sz w:val="21"/>
        </w:rPr>
        <w:t>Approved versions, permissions and identities replace ad hoc connections and unknown dependencies.</w:t>
      </w:r>
    </w:p>
    <w:p>
      <w:pPr>
        <w:keepNext/>
        <w:spacing w:before="80" w:after="60"/>
      </w:pPr>
      <w:r>
        <w:rPr>
          <w:rFonts w:ascii="Aptos" w:hAnsi="Aptos"/>
          <w:b/>
          <w:i w:val="0"/>
          <w:color w:val="6D5CE7"/>
          <w:sz w:val="25"/>
        </w:rPr>
        <w:t xml:space="preserve">3. </w:t>
      </w:r>
      <w:r>
        <w:rPr>
          <w:rFonts w:ascii="Aptos" w:hAnsi="Aptos"/>
          <w:b/>
          <w:i w:val="0"/>
          <w:color w:val="18233A"/>
          <w:sz w:val="25"/>
        </w:rPr>
        <w:t>Consistent governance</w:t>
      </w:r>
    </w:p>
    <w:p>
      <w:pPr>
        <w:spacing w:before="0" w:after="140" w:line="283" w:lineRule="auto"/>
        <w:jc w:val="left"/>
      </w:pPr>
      <w:r>
        <w:rPr>
          <w:rFonts w:ascii="Aptos" w:hAnsi="Aptos"/>
          <w:b w:val="0"/>
          <w:i w:val="0"/>
          <w:color w:val="111318"/>
          <w:sz w:val="21"/>
        </w:rPr>
        <w:t>One operating model can serve Claude Code, Codex and other standards-compliant MCP clients.</w:t>
      </w:r>
    </w:p>
    <w:p>
      <w:pPr>
        <w:keepNext/>
        <w:spacing w:before="80" w:after="60"/>
      </w:pPr>
      <w:r>
        <w:rPr>
          <w:rFonts w:ascii="Aptos" w:hAnsi="Aptos"/>
          <w:b/>
          <w:i w:val="0"/>
          <w:color w:val="6D5CE7"/>
          <w:sz w:val="25"/>
        </w:rPr>
        <w:t xml:space="preserve">4. </w:t>
      </w:r>
      <w:r>
        <w:rPr>
          <w:rFonts w:ascii="Aptos" w:hAnsi="Aptos"/>
          <w:b/>
          <w:i w:val="0"/>
          <w:color w:val="18233A"/>
          <w:sz w:val="25"/>
        </w:rPr>
        <w:t>Audit-ready evidence</w:t>
      </w:r>
    </w:p>
    <w:p>
      <w:pPr>
        <w:spacing w:before="0" w:after="140" w:line="283" w:lineRule="auto"/>
        <w:jc w:val="left"/>
      </w:pPr>
      <w:r>
        <w:rPr>
          <w:rFonts w:ascii="Aptos" w:hAnsi="Aptos"/>
          <w:b w:val="0"/>
          <w:i w:val="0"/>
          <w:color w:val="111318"/>
          <w:sz w:val="21"/>
        </w:rPr>
        <w:t>Important identities, decisions and outcomes remain available for review, investigation and assurance.</w:t>
      </w:r>
    </w:p>
    <w:p>
      <w:pPr>
        <w:pStyle w:val="Heading1"/>
        <w:keepNext/>
        <w:spacing w:before="240" w:after="140"/>
      </w:pPr>
      <w:r>
        <w:rPr>
          <w:rFonts w:ascii="Aptos" w:hAnsi="Aptos"/>
          <w:b w:val="0"/>
          <w:i w:val="0"/>
          <w:color w:val="18233A"/>
          <w:sz w:val="38"/>
        </w:rPr>
        <w:t>Representative use cases</w:t>
      </w:r>
    </w:p>
    <w:p>
      <w:pPr>
        <w:keepNext/>
        <w:spacing w:before="140" w:after="60"/>
      </w:pPr>
      <w:r>
        <w:rPr>
          <w:rFonts w:ascii="Aptos" w:hAnsi="Aptos"/>
          <w:b/>
          <w:i w:val="0"/>
          <w:color w:val="6D5CE7"/>
          <w:sz w:val="26"/>
        </w:rPr>
        <w:t xml:space="preserve">1. </w:t>
      </w:r>
      <w:r>
        <w:rPr>
          <w:rFonts w:ascii="Aptos" w:hAnsi="Aptos"/>
          <w:b/>
          <w:i w:val="0"/>
          <w:color w:val="18233A"/>
          <w:sz w:val="26"/>
        </w:rPr>
        <w:t>Enterprise-approved AI tools</w:t>
      </w:r>
    </w:p>
    <w:p>
      <w:pPr>
        <w:spacing w:after="60" w:line="278" w:lineRule="auto"/>
      </w:pPr>
      <w:r>
        <w:rPr>
          <w:rFonts w:ascii="Aptos" w:hAnsi="Aptos"/>
          <w:b/>
          <w:i w:val="0"/>
          <w:color w:val="18233A"/>
          <w:sz w:val="21"/>
        </w:rPr>
        <w:t xml:space="preserve">Business need: </w:t>
      </w:r>
      <w:r>
        <w:rPr>
          <w:rFonts w:ascii="Aptos" w:hAnsi="Aptos"/>
          <w:b w:val="0"/>
          <w:i w:val="0"/>
          <w:color w:val="111318"/>
          <w:sz w:val="21"/>
        </w:rPr>
        <w:t>Employees want AI clients to use Jira, GitHub, databases and internal APIs.</w:t>
      </w:r>
    </w:p>
    <w:p>
      <w:pPr>
        <w:spacing w:after="120" w:line="278" w:lineRule="auto"/>
      </w:pPr>
      <w:r>
        <w:rPr>
          <w:rFonts w:ascii="Aptos" w:hAnsi="Aptos"/>
          <w:b/>
          <w:i w:val="0"/>
          <w:color w:val="18233A"/>
          <w:sz w:val="21"/>
        </w:rPr>
        <w:t xml:space="preserve">SecureMCP value: </w:t>
      </w:r>
      <w:r>
        <w:rPr>
          <w:rFonts w:ascii="Aptos" w:hAnsi="Aptos"/>
          <w:b w:val="0"/>
          <w:i w:val="0"/>
          <w:color w:val="111318"/>
          <w:sz w:val="21"/>
        </w:rPr>
        <w:t>Provide a curated catalogue of reviewed services and discourage or block unapproved alternatives.</w:t>
      </w:r>
    </w:p>
    <w:p>
      <w:pPr>
        <w:keepNext/>
        <w:spacing w:before="140" w:after="60"/>
      </w:pPr>
      <w:r>
        <w:rPr>
          <w:rFonts w:ascii="Aptos" w:hAnsi="Aptos"/>
          <w:b/>
          <w:i w:val="0"/>
          <w:color w:val="6D5CE7"/>
          <w:sz w:val="26"/>
        </w:rPr>
        <w:t xml:space="preserve">2. </w:t>
      </w:r>
      <w:r>
        <w:rPr>
          <w:rFonts w:ascii="Aptos" w:hAnsi="Aptos"/>
          <w:b/>
          <w:i w:val="0"/>
          <w:color w:val="18233A"/>
          <w:sz w:val="26"/>
        </w:rPr>
        <w:t>Regulated financial-services agent</w:t>
      </w:r>
    </w:p>
    <w:p>
      <w:pPr>
        <w:spacing w:after="60" w:line="278" w:lineRule="auto"/>
      </w:pPr>
      <w:r>
        <w:rPr>
          <w:rFonts w:ascii="Aptos" w:hAnsi="Aptos"/>
          <w:b/>
          <w:i w:val="0"/>
          <w:color w:val="18233A"/>
          <w:sz w:val="21"/>
        </w:rPr>
        <w:t xml:space="preserve">Business need: </w:t>
      </w:r>
      <w:r>
        <w:rPr>
          <w:rFonts w:ascii="Aptos" w:hAnsi="Aptos"/>
          <w:b w:val="0"/>
          <w:i w:val="0"/>
          <w:color w:val="111318"/>
          <w:sz w:val="21"/>
        </w:rPr>
        <w:t>An AI agent analyzes customers or transactions using sensitive systems.</w:t>
      </w:r>
    </w:p>
    <w:p>
      <w:pPr>
        <w:spacing w:after="120" w:line="278" w:lineRule="auto"/>
      </w:pPr>
      <w:r>
        <w:rPr>
          <w:rFonts w:ascii="Aptos" w:hAnsi="Aptos"/>
          <w:b/>
          <w:i w:val="0"/>
          <w:color w:val="18233A"/>
          <w:sz w:val="21"/>
        </w:rPr>
        <w:t xml:space="preserve">SecureMCP value: </w:t>
      </w:r>
      <w:r>
        <w:rPr>
          <w:rFonts w:ascii="Aptos" w:hAnsi="Aptos"/>
          <w:b w:val="0"/>
          <w:i w:val="0"/>
          <w:color w:val="111318"/>
          <w:sz w:val="21"/>
        </w:rPr>
        <w:t>Apply purpose limits, consent, policy and audit evidence so access matches the approved task.</w:t>
      </w:r>
    </w:p>
    <w:p>
      <w:pPr>
        <w:keepNext/>
        <w:spacing w:before="140" w:after="60"/>
      </w:pPr>
      <w:r>
        <w:rPr>
          <w:rFonts w:ascii="Aptos" w:hAnsi="Aptos"/>
          <w:b/>
          <w:i w:val="0"/>
          <w:color w:val="6D5CE7"/>
          <w:sz w:val="26"/>
        </w:rPr>
        <w:t xml:space="preserve">3. </w:t>
      </w:r>
      <w:r>
        <w:rPr>
          <w:rFonts w:ascii="Aptos" w:hAnsi="Aptos"/>
          <w:b/>
          <w:i w:val="0"/>
          <w:color w:val="18233A"/>
          <w:sz w:val="26"/>
        </w:rPr>
        <w:t>Healthcare workflow assistant</w:t>
      </w:r>
    </w:p>
    <w:p>
      <w:pPr>
        <w:spacing w:after="60" w:line="278" w:lineRule="auto"/>
      </w:pPr>
      <w:r>
        <w:rPr>
          <w:rFonts w:ascii="Aptos" w:hAnsi="Aptos"/>
          <w:b/>
          <w:i w:val="0"/>
          <w:color w:val="18233A"/>
          <w:sz w:val="21"/>
        </w:rPr>
        <w:t xml:space="preserve">Business need: </w:t>
      </w:r>
      <w:r>
        <w:rPr>
          <w:rFonts w:ascii="Aptos" w:hAnsi="Aptos"/>
          <w:b w:val="0"/>
          <w:i w:val="0"/>
          <w:color w:val="111318"/>
          <w:sz w:val="21"/>
        </w:rPr>
        <w:t>A clinical or administrative assistant needs controlled access to patient-related services.</w:t>
      </w:r>
    </w:p>
    <w:p>
      <w:pPr>
        <w:spacing w:after="120" w:line="278" w:lineRule="auto"/>
      </w:pPr>
      <w:r>
        <w:rPr>
          <w:rFonts w:ascii="Aptos" w:hAnsi="Aptos"/>
          <w:b/>
          <w:i w:val="0"/>
          <w:color w:val="18233A"/>
          <w:sz w:val="21"/>
        </w:rPr>
        <w:t xml:space="preserve">SecureMCP value: </w:t>
      </w:r>
      <w:r>
        <w:rPr>
          <w:rFonts w:ascii="Aptos" w:hAnsi="Aptos"/>
          <w:b w:val="0"/>
          <w:i w:val="0"/>
          <w:color w:val="111318"/>
          <w:sz w:val="21"/>
        </w:rPr>
        <w:t>Approve specific service versions and limit access by role, purpose and environment.</w:t>
      </w:r>
    </w:p>
    <w:p>
      <w:r>
        <w:br w:type="page"/>
      </w:r>
    </w:p>
    <w:p>
      <w:pPr>
        <w:keepNext/>
        <w:spacing w:before="0" w:after="100" w:line="283" w:lineRule="auto"/>
        <w:jc w:val="left"/>
      </w:pPr>
      <w:r>
        <w:rPr>
          <w:rFonts w:ascii="Aptos" w:hAnsi="Aptos"/>
          <w:b/>
          <w:i w:val="0"/>
          <w:color w:val="6D5CE7"/>
          <w:sz w:val="19"/>
        </w:rPr>
        <w:t>SECURE ADOPTION AT SCALE</w:t>
      </w:r>
    </w:p>
    <w:p>
      <w:pPr>
        <w:pStyle w:val="Heading1"/>
        <w:keepNext/>
        <w:spacing w:before="240" w:after="140"/>
      </w:pPr>
      <w:r>
        <w:rPr>
          <w:rFonts w:ascii="Aptos" w:hAnsi="Aptos"/>
          <w:b w:val="0"/>
          <w:i w:val="0"/>
          <w:color w:val="18233A"/>
          <w:sz w:val="38"/>
        </w:rPr>
        <w:t>Use cases across the MCP lifecycle</w:t>
      </w:r>
    </w:p>
    <w:p>
      <w:pPr>
        <w:keepNext/>
        <w:spacing w:before="140" w:after="60"/>
      </w:pPr>
      <w:r>
        <w:rPr>
          <w:rFonts w:ascii="Aptos" w:hAnsi="Aptos"/>
          <w:b/>
          <w:i w:val="0"/>
          <w:color w:val="6D5CE7"/>
          <w:sz w:val="26"/>
        </w:rPr>
        <w:t xml:space="preserve">4. </w:t>
      </w:r>
      <w:r>
        <w:rPr>
          <w:rFonts w:ascii="Aptos" w:hAnsi="Aptos"/>
          <w:b/>
          <w:i w:val="0"/>
          <w:color w:val="18233A"/>
          <w:sz w:val="26"/>
        </w:rPr>
        <w:t>Third-party vendor onboarding</w:t>
      </w:r>
    </w:p>
    <w:p>
      <w:pPr>
        <w:spacing w:after="60" w:line="278" w:lineRule="auto"/>
      </w:pPr>
      <w:r>
        <w:rPr>
          <w:rFonts w:ascii="Aptos" w:hAnsi="Aptos"/>
          <w:b/>
          <w:i w:val="0"/>
          <w:color w:val="18233A"/>
          <w:sz w:val="21"/>
        </w:rPr>
        <w:t xml:space="preserve">Business need: </w:t>
      </w:r>
      <w:r>
        <w:rPr>
          <w:rFonts w:ascii="Aptos" w:hAnsi="Aptos"/>
          <w:b w:val="0"/>
          <w:i w:val="0"/>
          <w:color w:val="111318"/>
          <w:sz w:val="21"/>
        </w:rPr>
        <w:t>A SaaS provider wants its MCP service to reach enterprise AI agents.</w:t>
      </w:r>
    </w:p>
    <w:p>
      <w:pPr>
        <w:spacing w:after="120" w:line="278" w:lineRule="auto"/>
      </w:pPr>
      <w:r>
        <w:rPr>
          <w:rFonts w:ascii="Aptos" w:hAnsi="Aptos"/>
          <w:b/>
          <w:i w:val="0"/>
          <w:color w:val="18233A"/>
          <w:sz w:val="21"/>
        </w:rPr>
        <w:t xml:space="preserve">SecureMCP value: </w:t>
      </w:r>
      <w:r>
        <w:rPr>
          <w:rFonts w:ascii="Aptos" w:hAnsi="Aptos"/>
          <w:b w:val="0"/>
          <w:i w:val="0"/>
          <w:color w:val="111318"/>
          <w:sz w:val="21"/>
        </w:rPr>
        <w:t>Review publisher identity, capability, permissions and version evidence before publication.</w:t>
      </w:r>
    </w:p>
    <w:p>
      <w:pPr>
        <w:keepNext/>
        <w:spacing w:before="140" w:after="60"/>
      </w:pPr>
      <w:r>
        <w:rPr>
          <w:rFonts w:ascii="Aptos" w:hAnsi="Aptos"/>
          <w:b/>
          <w:i w:val="0"/>
          <w:color w:val="6D5CE7"/>
          <w:sz w:val="26"/>
        </w:rPr>
        <w:t xml:space="preserve">5. </w:t>
      </w:r>
      <w:r>
        <w:rPr>
          <w:rFonts w:ascii="Aptos" w:hAnsi="Aptos"/>
          <w:b/>
          <w:i w:val="0"/>
          <w:color w:val="18233A"/>
          <w:sz w:val="26"/>
        </w:rPr>
        <w:t>High-risk production action</w:t>
      </w:r>
    </w:p>
    <w:p>
      <w:pPr>
        <w:spacing w:after="60" w:line="278" w:lineRule="auto"/>
      </w:pPr>
      <w:r>
        <w:rPr>
          <w:rFonts w:ascii="Aptos" w:hAnsi="Aptos"/>
          <w:b/>
          <w:i w:val="0"/>
          <w:color w:val="18233A"/>
          <w:sz w:val="21"/>
        </w:rPr>
        <w:t xml:space="preserve">Business need: </w:t>
      </w:r>
      <w:r>
        <w:rPr>
          <w:rFonts w:ascii="Aptos" w:hAnsi="Aptos"/>
          <w:b w:val="0"/>
          <w:i w:val="0"/>
          <w:color w:val="111318"/>
          <w:sz w:val="21"/>
        </w:rPr>
        <w:t>An agent requests a deployment, payment, account change or destructive infrastructure action.</w:t>
      </w:r>
    </w:p>
    <w:p>
      <w:pPr>
        <w:spacing w:after="120" w:line="278" w:lineRule="auto"/>
      </w:pPr>
      <w:r>
        <w:rPr>
          <w:rFonts w:ascii="Aptos" w:hAnsi="Aptos"/>
          <w:b/>
          <w:i w:val="0"/>
          <w:color w:val="18233A"/>
          <w:sz w:val="21"/>
        </w:rPr>
        <w:t xml:space="preserve">SecureMCP value: </w:t>
      </w:r>
      <w:r>
        <w:rPr>
          <w:rFonts w:ascii="Aptos" w:hAnsi="Aptos"/>
          <w:b w:val="0"/>
          <w:i w:val="0"/>
          <w:color w:val="111318"/>
          <w:sz w:val="21"/>
        </w:rPr>
        <w:t>Check policy and consent, use restricted execution where appropriate and stop abnormal behaviour.</w:t>
      </w:r>
    </w:p>
    <w:p>
      <w:pPr>
        <w:keepNext/>
        <w:spacing w:before="140" w:after="60"/>
      </w:pPr>
      <w:r>
        <w:rPr>
          <w:rFonts w:ascii="Aptos" w:hAnsi="Aptos"/>
          <w:b/>
          <w:i w:val="0"/>
          <w:color w:val="6D5CE7"/>
          <w:sz w:val="26"/>
        </w:rPr>
        <w:t xml:space="preserve">6. </w:t>
      </w:r>
      <w:r>
        <w:rPr>
          <w:rFonts w:ascii="Aptos" w:hAnsi="Aptos"/>
          <w:b/>
          <w:i w:val="0"/>
          <w:color w:val="18233A"/>
          <w:sz w:val="26"/>
        </w:rPr>
        <w:t>Rapid incident response</w:t>
      </w:r>
    </w:p>
    <w:p>
      <w:pPr>
        <w:spacing w:after="60" w:line="278" w:lineRule="auto"/>
      </w:pPr>
      <w:r>
        <w:rPr>
          <w:rFonts w:ascii="Aptos" w:hAnsi="Aptos"/>
          <w:b/>
          <w:i w:val="0"/>
          <w:color w:val="18233A"/>
          <w:sz w:val="21"/>
        </w:rPr>
        <w:t xml:space="preserve">Business need: </w:t>
      </w:r>
      <w:r>
        <w:rPr>
          <w:rFonts w:ascii="Aptos" w:hAnsi="Aptos"/>
          <w:b w:val="0"/>
          <w:i w:val="0"/>
          <w:color w:val="111318"/>
          <w:sz w:val="21"/>
        </w:rPr>
        <w:t>A trusted version or publisher credential becomes compromised.</w:t>
      </w:r>
    </w:p>
    <w:p>
      <w:pPr>
        <w:spacing w:after="120" w:line="278" w:lineRule="auto"/>
      </w:pPr>
      <w:r>
        <w:rPr>
          <w:rFonts w:ascii="Aptos" w:hAnsi="Aptos"/>
          <w:b/>
          <w:i w:val="0"/>
          <w:color w:val="18233A"/>
          <w:sz w:val="21"/>
        </w:rPr>
        <w:t xml:space="preserve">SecureMCP value: </w:t>
      </w:r>
      <w:r>
        <w:rPr>
          <w:rFonts w:ascii="Aptos" w:hAnsi="Aptos"/>
          <w:b w:val="0"/>
          <w:i w:val="0"/>
          <w:color w:val="111318"/>
          <w:sz w:val="21"/>
        </w:rPr>
        <w:t>Revoke trust, suspend the listing, notify affected clients and prevent new connections.</w:t>
      </w:r>
    </w:p>
    <w:p>
      <w:pPr>
        <w:pStyle w:val="Heading1"/>
        <w:keepNext/>
        <w:spacing w:before="240" w:after="140"/>
      </w:pPr>
      <w:r>
        <w:rPr>
          <w:rFonts w:ascii="Aptos" w:hAnsi="Aptos"/>
          <w:b w:val="0"/>
          <w:i w:val="0"/>
          <w:color w:val="18233A"/>
          <w:sz w:val="38"/>
        </w:rPr>
        <w:t>From registry to control plane</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700"/>
            <w:tcMar>
              <w:top w:w="95" w:type="dxa"/>
              <w:start w:w="115" w:type="dxa"/>
              <w:bottom w:w="95" w:type="dxa"/>
              <w:end w:w="115" w:type="dxa"/>
            </w:tcMar>
            <w:vAlign w:val="center"/>
            <w:shd w:fill="6D5CE7"/>
          </w:tcPr>
          <w:p>
            <w:pPr>
              <w:spacing w:after="0" w:line="252" w:lineRule="auto"/>
            </w:pPr>
            <w:r>
              <w:rPr>
                <w:rFonts w:ascii="Aptos" w:hAnsi="Aptos"/>
                <w:b/>
                <w:i w:val="0"/>
                <w:color w:val="FFFFFF"/>
                <w:sz w:val="17"/>
              </w:rPr>
              <w:t>Capability</w:t>
            </w:r>
          </w:p>
        </w:tc>
        <w:tc>
          <w:tcPr>
            <w:tcW w:type="dxa" w:w="3400"/>
            <w:tcMar>
              <w:top w:w="95" w:type="dxa"/>
              <w:start w:w="115" w:type="dxa"/>
              <w:bottom w:w="95" w:type="dxa"/>
              <w:end w:w="115" w:type="dxa"/>
            </w:tcMar>
            <w:vAlign w:val="center"/>
            <w:shd w:fill="6D5CE7"/>
          </w:tcPr>
          <w:p>
            <w:pPr>
              <w:spacing w:after="0" w:line="252" w:lineRule="auto"/>
            </w:pPr>
            <w:r>
              <w:rPr>
                <w:rFonts w:ascii="Aptos" w:hAnsi="Aptos"/>
                <w:b/>
                <w:i w:val="0"/>
                <w:color w:val="FFFFFF"/>
                <w:sz w:val="17"/>
              </w:rPr>
              <w:t>Typical registry or catalogue</w:t>
            </w:r>
          </w:p>
        </w:tc>
        <w:tc>
          <w:tcPr>
            <w:tcW w:type="dxa" w:w="4020"/>
            <w:tcMar>
              <w:top w:w="95" w:type="dxa"/>
              <w:start w:w="115" w:type="dxa"/>
              <w:bottom w:w="95" w:type="dxa"/>
              <w:end w:w="115" w:type="dxa"/>
            </w:tcMar>
            <w:vAlign w:val="center"/>
            <w:shd w:fill="6D5CE7"/>
          </w:tcPr>
          <w:p>
            <w:pPr>
              <w:spacing w:after="0" w:line="252" w:lineRule="auto"/>
            </w:pPr>
            <w:r>
              <w:rPr>
                <w:rFonts w:ascii="Aptos" w:hAnsi="Aptos"/>
                <w:b/>
                <w:i w:val="0"/>
                <w:color w:val="FFFFFF"/>
                <w:sz w:val="17"/>
              </w:rPr>
              <w:t>Secured MCP Registry</w:t>
            </w:r>
          </w:p>
        </w:tc>
      </w:tr>
      <w:tr>
        <w:tc>
          <w:tcPr>
            <w:tcW w:type="dxa" w:w="1700"/>
            <w:tcMar>
              <w:top w:w="95" w:type="dxa"/>
              <w:start w:w="115" w:type="dxa"/>
              <w:bottom w:w="95" w:type="dxa"/>
              <w:end w:w="115" w:type="dxa"/>
            </w:tcMar>
            <w:vAlign w:val="center"/>
          </w:tcPr>
          <w:p>
            <w:pPr>
              <w:spacing w:after="0" w:line="252" w:lineRule="auto"/>
            </w:pPr>
            <w:r>
              <w:rPr>
                <w:rFonts w:ascii="Aptos" w:hAnsi="Aptos"/>
                <w:b/>
                <w:i w:val="0"/>
                <w:color w:val="111318"/>
                <w:sz w:val="17"/>
              </w:rPr>
              <w:t>Discovery</w:t>
            </w:r>
          </w:p>
        </w:tc>
        <w:tc>
          <w:tcPr>
            <w:tcW w:type="dxa" w:w="3400"/>
            <w:tcMar>
              <w:top w:w="95" w:type="dxa"/>
              <w:start w:w="115" w:type="dxa"/>
              <w:bottom w:w="95" w:type="dxa"/>
              <w:end w:w="115" w:type="dxa"/>
            </w:tcMar>
            <w:vAlign w:val="center"/>
          </w:tcPr>
          <w:p>
            <w:pPr>
              <w:spacing w:after="0" w:line="252" w:lineRule="auto"/>
            </w:pPr>
            <w:r>
              <w:rPr>
                <w:rFonts w:ascii="Aptos" w:hAnsi="Aptos"/>
                <w:b w:val="0"/>
                <w:i w:val="0"/>
                <w:color w:val="111318"/>
                <w:sz w:val="17"/>
              </w:rPr>
              <w:t>Find and install available MCP servers</w:t>
            </w:r>
          </w:p>
        </w:tc>
        <w:tc>
          <w:tcPr>
            <w:tcW w:type="dxa" w:w="4020"/>
            <w:tcMar>
              <w:top w:w="95" w:type="dxa"/>
              <w:start w:w="115" w:type="dxa"/>
              <w:bottom w:w="95" w:type="dxa"/>
              <w:end w:w="115" w:type="dxa"/>
            </w:tcMar>
            <w:vAlign w:val="center"/>
            <w:shd w:fill="F0EEFF"/>
          </w:tcPr>
          <w:p>
            <w:pPr>
              <w:spacing w:after="0" w:line="252" w:lineRule="auto"/>
            </w:pPr>
            <w:r>
              <w:rPr>
                <w:rFonts w:ascii="Aptos" w:hAnsi="Aptos"/>
                <w:b w:val="0"/>
                <w:i w:val="0"/>
                <w:color w:val="111318"/>
                <w:sz w:val="17"/>
              </w:rPr>
              <w:t>Discover approved services for the right audience</w:t>
            </w:r>
          </w:p>
        </w:tc>
      </w:tr>
      <w:tr>
        <w:tc>
          <w:tcPr>
            <w:tcW w:type="dxa" w:w="1700"/>
            <w:tcMar>
              <w:top w:w="95" w:type="dxa"/>
              <w:start w:w="115" w:type="dxa"/>
              <w:bottom w:w="95" w:type="dxa"/>
              <w:end w:w="115" w:type="dxa"/>
            </w:tcMar>
            <w:vAlign w:val="center"/>
          </w:tcPr>
          <w:p>
            <w:pPr>
              <w:spacing w:after="0" w:line="252" w:lineRule="auto"/>
            </w:pPr>
            <w:r>
              <w:rPr>
                <w:rFonts w:ascii="Aptos" w:hAnsi="Aptos"/>
                <w:b/>
                <w:i w:val="0"/>
                <w:color w:val="111318"/>
                <w:sz w:val="17"/>
              </w:rPr>
              <w:t>Trust</w:t>
            </w:r>
          </w:p>
        </w:tc>
        <w:tc>
          <w:tcPr>
            <w:tcW w:type="dxa" w:w="3400"/>
            <w:tcMar>
              <w:top w:w="95" w:type="dxa"/>
              <w:start w:w="115" w:type="dxa"/>
              <w:bottom w:w="95" w:type="dxa"/>
              <w:end w:w="115" w:type="dxa"/>
            </w:tcMar>
            <w:vAlign w:val="center"/>
          </w:tcPr>
          <w:p>
            <w:pPr>
              <w:spacing w:after="0" w:line="252" w:lineRule="auto"/>
            </w:pPr>
            <w:r>
              <w:rPr>
                <w:rFonts w:ascii="Aptos" w:hAnsi="Aptos"/>
                <w:b w:val="0"/>
                <w:i w:val="0"/>
                <w:color w:val="111318"/>
                <w:sz w:val="17"/>
              </w:rPr>
              <w:t>Publisher and package metadata</w:t>
            </w:r>
          </w:p>
        </w:tc>
        <w:tc>
          <w:tcPr>
            <w:tcW w:type="dxa" w:w="4020"/>
            <w:tcMar>
              <w:top w:w="95" w:type="dxa"/>
              <w:start w:w="115" w:type="dxa"/>
              <w:bottom w:w="95" w:type="dxa"/>
              <w:end w:w="115" w:type="dxa"/>
            </w:tcMar>
            <w:vAlign w:val="center"/>
            <w:shd w:fill="F0EEFF"/>
          </w:tcPr>
          <w:p>
            <w:pPr>
              <w:spacing w:after="0" w:line="252" w:lineRule="auto"/>
            </w:pPr>
            <w:r>
              <w:rPr>
                <w:rFonts w:ascii="Aptos" w:hAnsi="Aptos"/>
                <w:b w:val="0"/>
                <w:i w:val="0"/>
                <w:color w:val="111318"/>
                <w:sz w:val="17"/>
              </w:rPr>
              <w:t>Identity, certification, attestation and version status</w:t>
            </w:r>
          </w:p>
        </w:tc>
      </w:tr>
      <w:tr>
        <w:tc>
          <w:tcPr>
            <w:tcW w:type="dxa" w:w="1700"/>
            <w:tcMar>
              <w:top w:w="95" w:type="dxa"/>
              <w:start w:w="115" w:type="dxa"/>
              <w:bottom w:w="95" w:type="dxa"/>
              <w:end w:w="115" w:type="dxa"/>
            </w:tcMar>
            <w:vAlign w:val="center"/>
          </w:tcPr>
          <w:p>
            <w:pPr>
              <w:spacing w:after="0" w:line="252" w:lineRule="auto"/>
            </w:pPr>
            <w:r>
              <w:rPr>
                <w:rFonts w:ascii="Aptos" w:hAnsi="Aptos"/>
                <w:b/>
                <w:i w:val="0"/>
                <w:color w:val="111318"/>
                <w:sz w:val="17"/>
              </w:rPr>
              <w:t>Access</w:t>
            </w:r>
          </w:p>
        </w:tc>
        <w:tc>
          <w:tcPr>
            <w:tcW w:type="dxa" w:w="3400"/>
            <w:tcMar>
              <w:top w:w="95" w:type="dxa"/>
              <w:start w:w="115" w:type="dxa"/>
              <w:bottom w:w="95" w:type="dxa"/>
              <w:end w:w="115" w:type="dxa"/>
            </w:tcMar>
            <w:vAlign w:val="center"/>
          </w:tcPr>
          <w:p>
            <w:pPr>
              <w:spacing w:after="0" w:line="252" w:lineRule="auto"/>
            </w:pPr>
            <w:r>
              <w:rPr>
                <w:rFonts w:ascii="Aptos" w:hAnsi="Aptos"/>
                <w:b w:val="0"/>
                <w:i w:val="0"/>
                <w:color w:val="111318"/>
                <w:sz w:val="17"/>
              </w:rPr>
              <w:t>Configured by the user or client</w:t>
            </w:r>
          </w:p>
        </w:tc>
        <w:tc>
          <w:tcPr>
            <w:tcW w:type="dxa" w:w="4020"/>
            <w:tcMar>
              <w:top w:w="95" w:type="dxa"/>
              <w:start w:w="115" w:type="dxa"/>
              <w:bottom w:w="95" w:type="dxa"/>
              <w:end w:w="115" w:type="dxa"/>
            </w:tcMar>
            <w:vAlign w:val="center"/>
            <w:shd w:fill="F0EEFF"/>
          </w:tcPr>
          <w:p>
            <w:pPr>
              <w:spacing w:after="0" w:line="252" w:lineRule="auto"/>
            </w:pPr>
            <w:r>
              <w:rPr>
                <w:rFonts w:ascii="Aptos" w:hAnsi="Aptos"/>
                <w:b w:val="0"/>
                <w:i w:val="0"/>
                <w:color w:val="111318"/>
                <w:sz w:val="17"/>
              </w:rPr>
              <w:t>Policy, consent, contracts and client identity</w:t>
            </w:r>
          </w:p>
        </w:tc>
      </w:tr>
      <w:tr>
        <w:tc>
          <w:tcPr>
            <w:tcW w:type="dxa" w:w="1700"/>
            <w:tcMar>
              <w:top w:w="95" w:type="dxa"/>
              <w:start w:w="115" w:type="dxa"/>
              <w:bottom w:w="95" w:type="dxa"/>
              <w:end w:w="115" w:type="dxa"/>
            </w:tcMar>
            <w:vAlign w:val="center"/>
          </w:tcPr>
          <w:p>
            <w:pPr>
              <w:spacing w:after="0" w:line="252" w:lineRule="auto"/>
            </w:pPr>
            <w:r>
              <w:rPr>
                <w:rFonts w:ascii="Aptos" w:hAnsi="Aptos"/>
                <w:b/>
                <w:i w:val="0"/>
                <w:color w:val="111318"/>
                <w:sz w:val="17"/>
              </w:rPr>
              <w:t>Runtime</w:t>
            </w:r>
          </w:p>
        </w:tc>
        <w:tc>
          <w:tcPr>
            <w:tcW w:type="dxa" w:w="3400"/>
            <w:tcMar>
              <w:top w:w="95" w:type="dxa"/>
              <w:start w:w="115" w:type="dxa"/>
              <w:bottom w:w="95" w:type="dxa"/>
              <w:end w:w="115" w:type="dxa"/>
            </w:tcMar>
            <w:vAlign w:val="center"/>
          </w:tcPr>
          <w:p>
            <w:pPr>
              <w:spacing w:after="0" w:line="252" w:lineRule="auto"/>
            </w:pPr>
            <w:r>
              <w:rPr>
                <w:rFonts w:ascii="Aptos" w:hAnsi="Aptos"/>
                <w:b w:val="0"/>
                <w:i w:val="0"/>
                <w:color w:val="111318"/>
                <w:sz w:val="17"/>
              </w:rPr>
              <w:t>Connection and operational visibility</w:t>
            </w:r>
          </w:p>
        </w:tc>
        <w:tc>
          <w:tcPr>
            <w:tcW w:type="dxa" w:w="4020"/>
            <w:tcMar>
              <w:top w:w="95" w:type="dxa"/>
              <w:start w:w="115" w:type="dxa"/>
              <w:bottom w:w="95" w:type="dxa"/>
              <w:end w:w="115" w:type="dxa"/>
            </w:tcMar>
            <w:vAlign w:val="center"/>
            <w:shd w:fill="F0EEFF"/>
          </w:tcPr>
          <w:p>
            <w:pPr>
              <w:spacing w:after="0" w:line="252" w:lineRule="auto"/>
            </w:pPr>
            <w:r>
              <w:rPr>
                <w:rFonts w:ascii="Aptos" w:hAnsi="Aptos"/>
                <w:b w:val="0"/>
                <w:i w:val="0"/>
                <w:color w:val="111318"/>
                <w:sz w:val="17"/>
              </w:rPr>
              <w:t>Continuous behavioural risk assessment and adaptive controls</w:t>
            </w:r>
          </w:p>
        </w:tc>
      </w:tr>
      <w:tr>
        <w:tc>
          <w:tcPr>
            <w:tcW w:type="dxa" w:w="1700"/>
            <w:tcMar>
              <w:top w:w="95" w:type="dxa"/>
              <w:start w:w="115" w:type="dxa"/>
              <w:bottom w:w="95" w:type="dxa"/>
              <w:end w:w="115" w:type="dxa"/>
            </w:tcMar>
            <w:vAlign w:val="center"/>
          </w:tcPr>
          <w:p>
            <w:pPr>
              <w:spacing w:after="0" w:line="252" w:lineRule="auto"/>
            </w:pPr>
            <w:r>
              <w:rPr>
                <w:rFonts w:ascii="Aptos" w:hAnsi="Aptos"/>
                <w:b/>
                <w:i w:val="0"/>
                <w:color w:val="111318"/>
                <w:sz w:val="17"/>
              </w:rPr>
              <w:t>Lifecycle</w:t>
            </w:r>
          </w:p>
        </w:tc>
        <w:tc>
          <w:tcPr>
            <w:tcW w:type="dxa" w:w="3400"/>
            <w:tcMar>
              <w:top w:w="95" w:type="dxa"/>
              <w:start w:w="115" w:type="dxa"/>
              <w:bottom w:w="95" w:type="dxa"/>
              <w:end w:w="115" w:type="dxa"/>
            </w:tcMar>
            <w:vAlign w:val="center"/>
          </w:tcPr>
          <w:p>
            <w:pPr>
              <w:spacing w:after="0" w:line="252" w:lineRule="auto"/>
            </w:pPr>
            <w:r>
              <w:rPr>
                <w:rFonts w:ascii="Aptos" w:hAnsi="Aptos"/>
                <w:b w:val="0"/>
                <w:i w:val="0"/>
                <w:color w:val="111318"/>
                <w:sz w:val="17"/>
              </w:rPr>
              <w:t>Publish, update or remove listings</w:t>
            </w:r>
          </w:p>
        </w:tc>
        <w:tc>
          <w:tcPr>
            <w:tcW w:type="dxa" w:w="4020"/>
            <w:tcMar>
              <w:top w:w="95" w:type="dxa"/>
              <w:start w:w="115" w:type="dxa"/>
              <w:bottom w:w="95" w:type="dxa"/>
              <w:end w:w="115" w:type="dxa"/>
            </w:tcMar>
            <w:vAlign w:val="center"/>
            <w:shd w:fill="F0EEFF"/>
          </w:tcPr>
          <w:p>
            <w:pPr>
              <w:spacing w:after="0" w:line="252" w:lineRule="auto"/>
            </w:pPr>
            <w:r>
              <w:rPr>
                <w:rFonts w:ascii="Aptos" w:hAnsi="Aptos"/>
                <w:b w:val="0"/>
                <w:i w:val="0"/>
                <w:color w:val="111318"/>
                <w:sz w:val="17"/>
              </w:rPr>
              <w:t>Approve, suspend, revoke, deprecate and notify</w:t>
            </w:r>
          </w:p>
        </w:tc>
      </w:tr>
      <w:tr>
        <w:tc>
          <w:tcPr>
            <w:tcW w:type="dxa" w:w="1700"/>
            <w:tcMar>
              <w:top w:w="95" w:type="dxa"/>
              <w:start w:w="115" w:type="dxa"/>
              <w:bottom w:w="95" w:type="dxa"/>
              <w:end w:w="115" w:type="dxa"/>
            </w:tcMar>
            <w:vAlign w:val="center"/>
          </w:tcPr>
          <w:p>
            <w:pPr>
              <w:spacing w:after="0" w:line="252" w:lineRule="auto"/>
            </w:pPr>
            <w:r>
              <w:rPr>
                <w:rFonts w:ascii="Aptos" w:hAnsi="Aptos"/>
                <w:b/>
                <w:i w:val="0"/>
                <w:color w:val="111318"/>
                <w:sz w:val="17"/>
              </w:rPr>
              <w:t>Evidence</w:t>
            </w:r>
          </w:p>
        </w:tc>
        <w:tc>
          <w:tcPr>
            <w:tcW w:type="dxa" w:w="3400"/>
            <w:tcMar>
              <w:top w:w="95" w:type="dxa"/>
              <w:start w:w="115" w:type="dxa"/>
              <w:bottom w:w="95" w:type="dxa"/>
              <w:end w:w="115" w:type="dxa"/>
            </w:tcMar>
            <w:vAlign w:val="center"/>
          </w:tcPr>
          <w:p>
            <w:pPr>
              <w:spacing w:after="0" w:line="252" w:lineRule="auto"/>
            </w:pPr>
            <w:r>
              <w:rPr>
                <w:rFonts w:ascii="Aptos" w:hAnsi="Aptos"/>
                <w:b w:val="0"/>
                <w:i w:val="0"/>
                <w:color w:val="111318"/>
                <w:sz w:val="17"/>
              </w:rPr>
              <w:t>Logs vary by platform</w:t>
            </w:r>
          </w:p>
        </w:tc>
        <w:tc>
          <w:tcPr>
            <w:tcW w:type="dxa" w:w="4020"/>
            <w:tcMar>
              <w:top w:w="95" w:type="dxa"/>
              <w:start w:w="115" w:type="dxa"/>
              <w:bottom w:w="95" w:type="dxa"/>
              <w:end w:w="115" w:type="dxa"/>
            </w:tcMar>
            <w:vAlign w:val="center"/>
            <w:shd w:fill="F0EEFF"/>
          </w:tcPr>
          <w:p>
            <w:pPr>
              <w:spacing w:after="0" w:line="252" w:lineRule="auto"/>
            </w:pPr>
            <w:r>
              <w:rPr>
                <w:rFonts w:ascii="Aptos" w:hAnsi="Aptos"/>
                <w:b w:val="0"/>
                <w:i w:val="0"/>
                <w:color w:val="111318"/>
                <w:sz w:val="17"/>
              </w:rPr>
              <w:t>Provenance, audit and compliance-ready records</w:t>
            </w:r>
          </w:p>
        </w:tc>
      </w:tr>
    </w:tbl>
    <w:p>
      <w:r>
        <w:br w:type="page"/>
      </w:r>
    </w:p>
    <w:p>
      <w:pPr>
        <w:keepNext/>
        <w:spacing w:before="0" w:after="100" w:line="283" w:lineRule="auto"/>
        <w:jc w:val="left"/>
      </w:pPr>
      <w:r>
        <w:rPr>
          <w:rFonts w:ascii="Aptos" w:hAnsi="Aptos"/>
          <w:b/>
          <w:i w:val="0"/>
          <w:color w:val="6D5CE7"/>
          <w:sz w:val="19"/>
        </w:rPr>
        <w:t>DESIGNED FOR THE WAY ORGANIZATIONS OPERATE</w:t>
      </w:r>
    </w:p>
    <w:p>
      <w:pPr>
        <w:pStyle w:val="Heading1"/>
        <w:keepNext/>
        <w:spacing w:before="240" w:after="140"/>
      </w:pPr>
      <w:r>
        <w:rPr>
          <w:rFonts w:ascii="Aptos" w:hAnsi="Aptos"/>
          <w:b w:val="0"/>
          <w:i w:val="0"/>
          <w:color w:val="18233A"/>
          <w:sz w:val="38"/>
        </w:rPr>
        <w:t>One trust model. Multiple deployment choices.</w:t>
      </w:r>
    </w:p>
    <w:p>
      <w:pPr>
        <w:keepNext/>
        <w:spacing w:before="80" w:after="60"/>
      </w:pPr>
      <w:r>
        <w:rPr>
          <w:rFonts w:ascii="Aptos" w:hAnsi="Aptos"/>
          <w:b/>
          <w:i w:val="0"/>
          <w:color w:val="6D5CE7"/>
          <w:sz w:val="25"/>
        </w:rPr>
        <w:t xml:space="preserve">1. </w:t>
      </w:r>
      <w:r>
        <w:rPr>
          <w:rFonts w:ascii="Aptos" w:hAnsi="Aptos"/>
          <w:b/>
          <w:i w:val="0"/>
          <w:color w:val="18233A"/>
          <w:sz w:val="25"/>
        </w:rPr>
        <w:t>Internal registry</w:t>
      </w:r>
    </w:p>
    <w:p>
      <w:pPr>
        <w:spacing w:before="0" w:after="140" w:line="283" w:lineRule="auto"/>
        <w:jc w:val="left"/>
      </w:pPr>
      <w:r>
        <w:rPr>
          <w:rFonts w:ascii="Aptos" w:hAnsi="Aptos"/>
          <w:b w:val="0"/>
          <w:i w:val="0"/>
          <w:color w:val="111318"/>
          <w:sz w:val="21"/>
        </w:rPr>
        <w:t>Create a private catalogue of approved MCP services for employees, developers and enterprise AI agents.</w:t>
      </w:r>
    </w:p>
    <w:p>
      <w:pPr>
        <w:keepNext/>
        <w:spacing w:before="80" w:after="60"/>
      </w:pPr>
      <w:r>
        <w:rPr>
          <w:rFonts w:ascii="Aptos" w:hAnsi="Aptos"/>
          <w:b/>
          <w:i w:val="0"/>
          <w:color w:val="6D5CE7"/>
          <w:sz w:val="25"/>
        </w:rPr>
        <w:t xml:space="preserve">2. </w:t>
      </w:r>
      <w:r>
        <w:rPr>
          <w:rFonts w:ascii="Aptos" w:hAnsi="Aptos"/>
          <w:b/>
          <w:i w:val="0"/>
          <w:color w:val="18233A"/>
          <w:sz w:val="25"/>
        </w:rPr>
        <w:t>Curated public service</w:t>
      </w:r>
    </w:p>
    <w:p>
      <w:pPr>
        <w:spacing w:before="0" w:after="140" w:line="283" w:lineRule="auto"/>
        <w:jc w:val="left"/>
      </w:pPr>
      <w:r>
        <w:rPr>
          <w:rFonts w:ascii="Aptos" w:hAnsi="Aptos"/>
          <w:b w:val="0"/>
          <w:i w:val="0"/>
          <w:color w:val="111318"/>
          <w:sz w:val="21"/>
        </w:rPr>
        <w:t>Publish approved services to a controlled audience while maintaining certification and lifecycle status.</w:t>
      </w:r>
    </w:p>
    <w:p>
      <w:pPr>
        <w:keepNext/>
        <w:spacing w:before="80" w:after="60"/>
      </w:pPr>
      <w:r>
        <w:rPr>
          <w:rFonts w:ascii="Aptos" w:hAnsi="Aptos"/>
          <w:b/>
          <w:i w:val="0"/>
          <w:color w:val="6D5CE7"/>
          <w:sz w:val="25"/>
        </w:rPr>
        <w:t xml:space="preserve">3. </w:t>
      </w:r>
      <w:r>
        <w:rPr>
          <w:rFonts w:ascii="Aptos" w:hAnsi="Aptos"/>
          <w:b/>
          <w:i w:val="0"/>
          <w:color w:val="18233A"/>
          <w:sz w:val="25"/>
        </w:rPr>
        <w:t>Federated trust environment</w:t>
      </w:r>
    </w:p>
    <w:p>
      <w:pPr>
        <w:spacing w:before="0" w:after="140" w:line="283" w:lineRule="auto"/>
        <w:jc w:val="left"/>
      </w:pPr>
      <w:r>
        <w:rPr>
          <w:rFonts w:ascii="Aptos" w:hAnsi="Aptos"/>
          <w:b w:val="0"/>
          <w:i w:val="0"/>
          <w:color w:val="111318"/>
          <w:sz w:val="21"/>
        </w:rPr>
        <w:t>Share approved trust information across business units or partners while preserving local policy decisions.</w:t>
      </w:r>
    </w:p>
    <w:p>
      <w:pPr>
        <w:pStyle w:val="Heading2"/>
        <w:keepNext/>
        <w:spacing w:before="200" w:after="100"/>
      </w:pPr>
      <w:r>
        <w:rPr>
          <w:rFonts w:ascii="Aptos" w:hAnsi="Aptos"/>
          <w:b w:val="0"/>
          <w:i w:val="0"/>
          <w:color w:val="5142C7"/>
          <w:sz w:val="28"/>
        </w:rPr>
        <w:t>Works across the MCP ecosystem</w:t>
      </w:r>
    </w:p>
    <w:p>
      <w:pPr>
        <w:spacing w:before="0" w:after="240" w:line="283" w:lineRule="auto"/>
        <w:jc w:val="left"/>
      </w:pPr>
      <w:r>
        <w:rPr>
          <w:rFonts w:ascii="Aptos" w:hAnsi="Aptos"/>
          <w:b w:val="0"/>
          <w:i w:val="0"/>
          <w:color w:val="111318"/>
          <w:sz w:val="22"/>
        </w:rPr>
        <w:t>The Secured MCP Registry is designed to complement—not replace—the MCP standard and public ecosystem. Organizations can use public registries and catalogues as upstream sources, enrich that metadata with their own approval and security evidence, and serve multiple standards-compliant clients through one governed model.</w:t>
      </w:r>
    </w:p>
    <w:tbl>
      <w:tblPr>
        <w:tblW w:type="auto" w:w="0"/>
        <w:jc w:val="center"/>
        <w:tblLayout w:type="fixed"/>
        <w:tblLook w:firstColumn="1" w:firstRow="1" w:lastColumn="0" w:lastRow="0" w:noHBand="0" w:noVBand="1" w:val="04A0"/>
      </w:tblPr>
      <w:tblGrid>
        <w:gridCol w:w="9792"/>
      </w:tblGrid>
      <w:tr>
        <w:tc>
          <w:tcPr>
            <w:tcW w:type="dxa" w:w="9120"/>
            <w:tcMar>
              <w:top w:w="160" w:type="dxa"/>
              <w:start w:w="190" w:type="dxa"/>
              <w:bottom w:w="160" w:type="dxa"/>
              <w:end w:w="190" w:type="dxa"/>
            </w:tcMar>
            <w:shd w:fill="F0EEFF"/>
            <w:vAlign w:val="center"/>
          </w:tcPr>
          <w:p>
            <w:pPr>
              <w:spacing w:after="60"/>
            </w:pPr>
            <w:r>
              <w:rPr>
                <w:rFonts w:ascii="Aptos" w:hAnsi="Aptos"/>
                <w:b/>
                <w:i w:val="0"/>
                <w:color w:val="5142C7"/>
                <w:sz w:val="24"/>
              </w:rPr>
              <w:t>The positioning is clear</w:t>
            </w:r>
          </w:p>
          <w:p>
            <w:pPr>
              <w:spacing w:after="0" w:line="276" w:lineRule="auto"/>
            </w:pPr>
            <w:r>
              <w:rPr>
                <w:rFonts w:ascii="Aptos" w:hAnsi="Aptos"/>
                <w:b w:val="0"/>
                <w:i w:val="0"/>
                <w:color w:val="18233A"/>
                <w:sz w:val="21"/>
              </w:rPr>
              <w:t>Public directories optimize for broad discovery. SecureMCP optimizes for governed organizational adoption—before publication, during discovery and throughout execution.</w:t>
            </w:r>
          </w:p>
        </w:tc>
      </w:tr>
    </w:tbl>
    <w:p>
      <w:pPr>
        <w:spacing w:before="0" w:after="60" w:line="283" w:lineRule="auto"/>
        <w:jc w:val="left"/>
      </w:pPr>
      <w:r>
        <w:rPr>
          <w:rFonts w:ascii="Aptos" w:hAnsi="Aptos"/>
          <w:b w:val="0"/>
          <w:i w:val="0"/>
          <w:color w:val="111318"/>
          <w:sz w:val="22"/>
        </w:rPr>
      </w:r>
    </w:p>
    <w:p>
      <w:pPr>
        <w:pStyle w:val="Heading1"/>
        <w:keepNext/>
        <w:spacing w:before="240" w:after="140"/>
      </w:pPr>
      <w:r>
        <w:rPr>
          <w:rFonts w:ascii="Aptos" w:hAnsi="Aptos"/>
          <w:b w:val="0"/>
          <w:i w:val="0"/>
          <w:color w:val="18233A"/>
          <w:sz w:val="38"/>
        </w:rPr>
        <w:t>Start with a focused adoption path</w:t>
      </w:r>
    </w:p>
    <w:p>
      <w:pPr>
        <w:keepNext/>
        <w:spacing w:before="80" w:after="60"/>
      </w:pPr>
      <w:r>
        <w:rPr>
          <w:rFonts w:ascii="Aptos" w:hAnsi="Aptos"/>
          <w:b/>
          <w:i w:val="0"/>
          <w:color w:val="6D5CE7"/>
          <w:sz w:val="25"/>
        </w:rPr>
        <w:t xml:space="preserve">1. </w:t>
      </w:r>
      <w:r>
        <w:rPr>
          <w:rFonts w:ascii="Aptos" w:hAnsi="Aptos"/>
          <w:b/>
          <w:i w:val="0"/>
          <w:color w:val="18233A"/>
          <w:sz w:val="25"/>
        </w:rPr>
        <w:t>Choose a priority workflow</w:t>
      </w:r>
    </w:p>
    <w:p>
      <w:pPr>
        <w:spacing w:before="0" w:after="140" w:line="283" w:lineRule="auto"/>
        <w:jc w:val="left"/>
      </w:pPr>
      <w:r>
        <w:rPr>
          <w:rFonts w:ascii="Aptos" w:hAnsi="Aptos"/>
          <w:b w:val="0"/>
          <w:i w:val="0"/>
          <w:color w:val="111318"/>
          <w:sz w:val="21"/>
        </w:rPr>
        <w:t>Select one valuable MCP-enabled use case with clear users, systems and business outcomes.</w:t>
      </w:r>
    </w:p>
    <w:p>
      <w:pPr>
        <w:keepNext/>
        <w:spacing w:before="80" w:after="60"/>
      </w:pPr>
      <w:r>
        <w:rPr>
          <w:rFonts w:ascii="Aptos" w:hAnsi="Aptos"/>
          <w:b/>
          <w:i w:val="0"/>
          <w:color w:val="6D5CE7"/>
          <w:sz w:val="25"/>
        </w:rPr>
        <w:t xml:space="preserve">2. </w:t>
      </w:r>
      <w:r>
        <w:rPr>
          <w:rFonts w:ascii="Aptos" w:hAnsi="Aptos"/>
          <w:b/>
          <w:i w:val="0"/>
          <w:color w:val="18233A"/>
          <w:sz w:val="25"/>
        </w:rPr>
        <w:t>Define the trust requirements</w:t>
      </w:r>
    </w:p>
    <w:p>
      <w:pPr>
        <w:spacing w:before="0" w:after="140" w:line="283" w:lineRule="auto"/>
        <w:jc w:val="left"/>
      </w:pPr>
      <w:r>
        <w:rPr>
          <w:rFonts w:ascii="Aptos" w:hAnsi="Aptos"/>
          <w:b w:val="0"/>
          <w:i w:val="0"/>
          <w:color w:val="111318"/>
          <w:sz w:val="21"/>
        </w:rPr>
        <w:t>Identify the publishers, versions, permissions, policies, consent and evidence required.</w:t>
      </w:r>
    </w:p>
    <w:p>
      <w:pPr>
        <w:keepNext/>
        <w:spacing w:before="80" w:after="60"/>
      </w:pPr>
      <w:r>
        <w:rPr>
          <w:rFonts w:ascii="Aptos" w:hAnsi="Aptos"/>
          <w:b/>
          <w:i w:val="0"/>
          <w:color w:val="6D5CE7"/>
          <w:sz w:val="25"/>
        </w:rPr>
        <w:t xml:space="preserve">3. </w:t>
      </w:r>
      <w:r>
        <w:rPr>
          <w:rFonts w:ascii="Aptos" w:hAnsi="Aptos"/>
          <w:b/>
          <w:i w:val="0"/>
          <w:color w:val="18233A"/>
          <w:sz w:val="25"/>
        </w:rPr>
        <w:t>Publish an approved catalogue</w:t>
      </w:r>
    </w:p>
    <w:p>
      <w:pPr>
        <w:spacing w:before="0" w:after="140" w:line="283" w:lineRule="auto"/>
        <w:jc w:val="left"/>
      </w:pPr>
      <w:r>
        <w:rPr>
          <w:rFonts w:ascii="Aptos" w:hAnsi="Aptos"/>
          <w:b w:val="0"/>
          <w:i w:val="0"/>
          <w:color w:val="111318"/>
          <w:sz w:val="21"/>
        </w:rPr>
        <w:t>Make trusted capabilities easy for eligible AI clients to discover and use.</w:t>
      </w:r>
    </w:p>
    <w:p>
      <w:pPr>
        <w:keepNext/>
        <w:spacing w:before="80" w:after="60"/>
      </w:pPr>
      <w:r>
        <w:rPr>
          <w:rFonts w:ascii="Aptos" w:hAnsi="Aptos"/>
          <w:b/>
          <w:i w:val="0"/>
          <w:color w:val="6D5CE7"/>
          <w:sz w:val="25"/>
        </w:rPr>
        <w:t xml:space="preserve">4. </w:t>
      </w:r>
      <w:r>
        <w:rPr>
          <w:rFonts w:ascii="Aptos" w:hAnsi="Aptos"/>
          <w:b/>
          <w:i w:val="0"/>
          <w:color w:val="18233A"/>
          <w:sz w:val="25"/>
        </w:rPr>
        <w:t>Expand with evidence</w:t>
      </w:r>
    </w:p>
    <w:p>
      <w:pPr>
        <w:spacing w:before="0" w:after="140" w:line="283" w:lineRule="auto"/>
        <w:jc w:val="left"/>
      </w:pPr>
      <w:r>
        <w:rPr>
          <w:rFonts w:ascii="Aptos" w:hAnsi="Aptos"/>
          <w:b w:val="0"/>
          <w:i w:val="0"/>
          <w:color w:val="111318"/>
          <w:sz w:val="21"/>
        </w:rPr>
        <w:t>Use runtime insight, audit records and operating experience to scale adoption responsibly.</w:t>
      </w:r>
    </w:p>
    <w:p>
      <w:pPr>
        <w:spacing w:before="0" w:after="40" w:line="283" w:lineRule="auto"/>
        <w:jc w:val="left"/>
      </w:pPr>
      <w:r>
        <w:rPr>
          <w:rFonts w:ascii="Aptos" w:hAnsi="Aptos"/>
          <w:b/>
          <w:i w:val="0"/>
          <w:color w:val="5142C7"/>
          <w:sz w:val="36"/>
        </w:rPr>
        <w:t>SecureMCP</w:t>
      </w:r>
    </w:p>
    <w:p>
      <w:pPr>
        <w:spacing w:before="0" w:after="0" w:line="283" w:lineRule="auto"/>
        <w:jc w:val="left"/>
      </w:pPr>
      <w:r>
        <w:rPr>
          <w:rFonts w:ascii="Aptos" w:hAnsi="Aptos"/>
          <w:b/>
          <w:i w:val="0"/>
          <w:color w:val="18233A"/>
          <w:sz w:val="24"/>
        </w:rPr>
        <w:t>Trust the capability. Govern the action. Preserve the evidence.</w:t>
      </w:r>
    </w:p>
    <w:sectPr w:rsidR="00FC693F" w:rsidRPr="0006063C" w:rsidSect="00034616">
      <w:headerReference w:type="default" r:id="rId9"/>
      <w:footerReference w:type="default" r:id="rId10"/>
      <w:pgSz w:w="12240" w:h="15840"/>
      <w:pgMar w:top="1037"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F6673"/>
        <w:sz w:val="16"/>
      </w:rPr>
      <w:t>Secured MCP Registry  •  Marketing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F6673"/>
        <w:sz w:val="17"/>
      </w:rPr>
      <w:t>PURECIPHER  |  SECUREMCP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Secured MCP Registry - Marketing Overview</dc:title>
  <dc:subject>Marketing overview for the PureCipher Secured MCP Registry</dc:subject>
  <dc:creator>PureCipher</dc:creator>
  <cp:keywords/>
  <dc:description>generated by python-docx</dc:description>
  <cp:lastModifiedBy/>
  <cp:revision>1</cp:revision>
  <dcterms:created xsi:type="dcterms:W3CDTF">2013-12-23T23:15:00Z</dcterms:created>
  <dcterms:modified xsi:type="dcterms:W3CDTF">2013-12-23T23:15:00Z</dcterms:modified>
  <cp:category/>
</cp:coreProperties>
</file>