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CCDC" w14:textId="77777777" w:rsidR="0083268F" w:rsidRPr="00CC5896" w:rsidRDefault="0083268F"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The University of Hong Kong</w:t>
      </w:r>
    </w:p>
    <w:p w14:paraId="1275B9EA" w14:textId="77777777" w:rsidR="0083268F" w:rsidRPr="00CC5896" w:rsidRDefault="0083268F"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School of Nursing</w:t>
      </w:r>
    </w:p>
    <w:p w14:paraId="4969FD01" w14:textId="39401D69" w:rsidR="0083268F" w:rsidRPr="00CC5896" w:rsidRDefault="0083268F"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 xml:space="preserve">Bachelor of Nursing (Full-time) </w:t>
      </w:r>
      <w:r w:rsidR="00BD7EB8" w:rsidRPr="00CC5896">
        <w:rPr>
          <w:rFonts w:asciiTheme="majorHAnsi" w:hAnsiTheme="majorHAnsi" w:cstheme="majorHAnsi"/>
          <w:sz w:val="48"/>
          <w:szCs w:val="48"/>
        </w:rPr>
        <w:t>P</w:t>
      </w:r>
      <w:r w:rsidRPr="00CC5896">
        <w:rPr>
          <w:rFonts w:asciiTheme="majorHAnsi" w:hAnsiTheme="majorHAnsi" w:cstheme="majorHAnsi"/>
          <w:sz w:val="48"/>
          <w:szCs w:val="48"/>
        </w:rPr>
        <w:t>rogramme</w:t>
      </w:r>
    </w:p>
    <w:p w14:paraId="021BF5A5" w14:textId="77777777" w:rsidR="0083268F" w:rsidRPr="00CC5896" w:rsidRDefault="0083268F"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Class 2027, Year II</w:t>
      </w:r>
    </w:p>
    <w:p w14:paraId="11445276" w14:textId="05AB6C19" w:rsidR="00D0687D" w:rsidRPr="00CC5896" w:rsidRDefault="0083268F"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NURS2600 Nursing of Adults I</w:t>
      </w:r>
      <w:r w:rsidRPr="00CC5896">
        <w:rPr>
          <w:rFonts w:asciiTheme="majorHAnsi" w:hAnsiTheme="majorHAnsi" w:cstheme="majorHAnsi"/>
          <w:sz w:val="48"/>
          <w:szCs w:val="48"/>
        </w:rPr>
        <w:cr/>
      </w:r>
    </w:p>
    <w:p w14:paraId="2C7CEBC0" w14:textId="5C081613" w:rsidR="0083268F" w:rsidRPr="00CC5896" w:rsidRDefault="0083268F" w:rsidP="0083268F">
      <w:pPr>
        <w:spacing w:line="480" w:lineRule="auto"/>
        <w:jc w:val="left"/>
        <w:rPr>
          <w:rFonts w:asciiTheme="majorHAnsi" w:hAnsiTheme="majorHAnsi" w:cstheme="majorHAnsi"/>
          <w:sz w:val="48"/>
          <w:szCs w:val="48"/>
        </w:rPr>
      </w:pPr>
      <w:r w:rsidRPr="00CC5896">
        <w:rPr>
          <w:rFonts w:asciiTheme="majorHAnsi" w:hAnsiTheme="majorHAnsi" w:cstheme="majorHAnsi"/>
          <w:sz w:val="48"/>
          <w:szCs w:val="48"/>
        </w:rPr>
        <w:t>Students name</w:t>
      </w:r>
      <w:r w:rsidR="005D6889" w:rsidRPr="00CC5896">
        <w:rPr>
          <w:rFonts w:asciiTheme="majorHAnsi" w:hAnsiTheme="majorHAnsi" w:cstheme="majorHAnsi"/>
          <w:sz w:val="48"/>
          <w:szCs w:val="48"/>
        </w:rPr>
        <w:t xml:space="preserve"> (Group 4.6)</w:t>
      </w:r>
      <w:r w:rsidRPr="00CC5896">
        <w:rPr>
          <w:rFonts w:asciiTheme="majorHAnsi" w:hAnsiTheme="majorHAnsi" w:cstheme="majorHAnsi"/>
          <w:sz w:val="48"/>
          <w:szCs w:val="48"/>
        </w:rPr>
        <w:t>:</w:t>
      </w:r>
    </w:p>
    <w:tbl>
      <w:tblPr>
        <w:tblStyle w:val="a3"/>
        <w:tblW w:w="0" w:type="auto"/>
        <w:tblLook w:val="04A0" w:firstRow="1" w:lastRow="0" w:firstColumn="1" w:lastColumn="0" w:noHBand="0" w:noVBand="1"/>
      </w:tblPr>
      <w:tblGrid>
        <w:gridCol w:w="4148"/>
        <w:gridCol w:w="4148"/>
      </w:tblGrid>
      <w:tr w:rsidR="0083268F" w:rsidRPr="00CC5896" w14:paraId="1D1AFBF0" w14:textId="77777777" w:rsidTr="0083268F">
        <w:tc>
          <w:tcPr>
            <w:tcW w:w="4148" w:type="dxa"/>
          </w:tcPr>
          <w:p w14:paraId="16956460" w14:textId="2D08F889"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Chan Ching Yeung</w:t>
            </w:r>
          </w:p>
        </w:tc>
        <w:tc>
          <w:tcPr>
            <w:tcW w:w="4148" w:type="dxa"/>
          </w:tcPr>
          <w:p w14:paraId="7C387630" w14:textId="35CFF6B6" w:rsidR="0083268F" w:rsidRPr="00CC5896" w:rsidRDefault="00332781"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3035980625</w:t>
            </w:r>
          </w:p>
        </w:tc>
      </w:tr>
      <w:tr w:rsidR="0083268F" w:rsidRPr="00CC5896" w14:paraId="3CB2447A" w14:textId="77777777" w:rsidTr="0083268F">
        <w:tc>
          <w:tcPr>
            <w:tcW w:w="4148" w:type="dxa"/>
          </w:tcPr>
          <w:p w14:paraId="2F3FDA44" w14:textId="1A949727"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Chan Tsz Pan</w:t>
            </w:r>
          </w:p>
        </w:tc>
        <w:tc>
          <w:tcPr>
            <w:tcW w:w="4148" w:type="dxa"/>
          </w:tcPr>
          <w:p w14:paraId="3FA51F65" w14:textId="06387CFC" w:rsidR="0083268F" w:rsidRPr="00CC5896" w:rsidRDefault="00332781"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3036085692</w:t>
            </w:r>
          </w:p>
        </w:tc>
      </w:tr>
      <w:tr w:rsidR="0083268F" w:rsidRPr="00CC5896" w14:paraId="5E0F66A3" w14:textId="77777777" w:rsidTr="0083268F">
        <w:tc>
          <w:tcPr>
            <w:tcW w:w="4148" w:type="dxa"/>
          </w:tcPr>
          <w:p w14:paraId="1DF9CD8C" w14:textId="5FE6C89F"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Fung Wing Yin</w:t>
            </w:r>
          </w:p>
        </w:tc>
        <w:tc>
          <w:tcPr>
            <w:tcW w:w="4148" w:type="dxa"/>
          </w:tcPr>
          <w:p w14:paraId="134F2371" w14:textId="1320A900" w:rsidR="0083268F" w:rsidRPr="00CC5896" w:rsidRDefault="00332781"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3036070439</w:t>
            </w:r>
          </w:p>
        </w:tc>
      </w:tr>
      <w:tr w:rsidR="0083268F" w:rsidRPr="00CC5896" w14:paraId="09DB46BA" w14:textId="77777777" w:rsidTr="0083268F">
        <w:tc>
          <w:tcPr>
            <w:tcW w:w="4148" w:type="dxa"/>
          </w:tcPr>
          <w:p w14:paraId="0FE16B16" w14:textId="576A7445"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Leung Kit</w:t>
            </w:r>
          </w:p>
        </w:tc>
        <w:tc>
          <w:tcPr>
            <w:tcW w:w="4148" w:type="dxa"/>
          </w:tcPr>
          <w:p w14:paraId="55D5E5BC" w14:textId="68292DEA"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3036072724</w:t>
            </w:r>
          </w:p>
        </w:tc>
      </w:tr>
      <w:tr w:rsidR="0083268F" w:rsidRPr="00CC5896" w14:paraId="0E62D176" w14:textId="77777777" w:rsidTr="0083268F">
        <w:tc>
          <w:tcPr>
            <w:tcW w:w="4148" w:type="dxa"/>
          </w:tcPr>
          <w:p w14:paraId="3C34F07D" w14:textId="0511CCCF"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Leung Man Chak</w:t>
            </w:r>
          </w:p>
        </w:tc>
        <w:tc>
          <w:tcPr>
            <w:tcW w:w="4148" w:type="dxa"/>
          </w:tcPr>
          <w:p w14:paraId="55FAB79C" w14:textId="69607E08" w:rsidR="0083268F" w:rsidRPr="00CC5896" w:rsidRDefault="00332781"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3036071342</w:t>
            </w:r>
          </w:p>
        </w:tc>
      </w:tr>
      <w:tr w:rsidR="0083268F" w:rsidRPr="00CC5896" w14:paraId="4912FACB" w14:textId="77777777" w:rsidTr="0083268F">
        <w:tc>
          <w:tcPr>
            <w:tcW w:w="4148" w:type="dxa"/>
          </w:tcPr>
          <w:p w14:paraId="000A6407" w14:textId="63D1B7F0"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Wong Kwok Yin</w:t>
            </w:r>
          </w:p>
        </w:tc>
        <w:tc>
          <w:tcPr>
            <w:tcW w:w="4148" w:type="dxa"/>
          </w:tcPr>
          <w:p w14:paraId="29AC10F3" w14:textId="368FD939"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3036070362</w:t>
            </w:r>
          </w:p>
        </w:tc>
      </w:tr>
    </w:tbl>
    <w:p w14:paraId="622D31C0" w14:textId="77777777" w:rsidR="0083268F" w:rsidRPr="00CC5896" w:rsidRDefault="0083268F" w:rsidP="0083268F">
      <w:pPr>
        <w:spacing w:line="480" w:lineRule="auto"/>
        <w:jc w:val="left"/>
        <w:rPr>
          <w:rFonts w:asciiTheme="majorHAnsi" w:hAnsiTheme="majorHAnsi" w:cstheme="majorHAnsi"/>
          <w:sz w:val="48"/>
          <w:szCs w:val="48"/>
        </w:rPr>
      </w:pPr>
      <w:r w:rsidRPr="00CC5896">
        <w:rPr>
          <w:rFonts w:asciiTheme="majorHAnsi" w:hAnsiTheme="majorHAnsi" w:cstheme="majorHAnsi"/>
          <w:sz w:val="48"/>
          <w:szCs w:val="48"/>
        </w:rPr>
        <w:t>Course teachers’ name:</w:t>
      </w:r>
    </w:p>
    <w:p w14:paraId="3D1826FC" w14:textId="4FBDD8AE" w:rsidR="0083268F" w:rsidRPr="00CC5896" w:rsidRDefault="0083268F" w:rsidP="0083268F">
      <w:pPr>
        <w:spacing w:line="480" w:lineRule="auto"/>
        <w:jc w:val="left"/>
        <w:rPr>
          <w:rFonts w:asciiTheme="majorHAnsi" w:hAnsiTheme="majorHAnsi" w:cstheme="majorHAnsi"/>
          <w:sz w:val="48"/>
          <w:szCs w:val="48"/>
        </w:rPr>
      </w:pPr>
      <w:r w:rsidRPr="00CC5896">
        <w:rPr>
          <w:rFonts w:asciiTheme="majorHAnsi" w:hAnsiTheme="majorHAnsi" w:cstheme="majorHAnsi"/>
          <w:sz w:val="48"/>
          <w:szCs w:val="48"/>
        </w:rPr>
        <w:t>Ms. Joanna Ko, Ms. Polly Li, Mr. Benney Wong, Ms. Jessica Cheuk</w:t>
      </w:r>
    </w:p>
    <w:p w14:paraId="2C409163" w14:textId="77777777" w:rsidR="0083268F" w:rsidRPr="00CC5896" w:rsidRDefault="0083268F" w:rsidP="0083268F">
      <w:pPr>
        <w:spacing w:line="480" w:lineRule="auto"/>
        <w:jc w:val="left"/>
        <w:rPr>
          <w:rFonts w:asciiTheme="majorHAnsi" w:hAnsiTheme="majorHAnsi" w:cstheme="majorHAnsi"/>
          <w:sz w:val="48"/>
          <w:szCs w:val="48"/>
        </w:rPr>
      </w:pPr>
    </w:p>
    <w:p w14:paraId="05FCA772" w14:textId="45625036" w:rsidR="0083268F" w:rsidRPr="00CC5896" w:rsidRDefault="0083268F" w:rsidP="0083268F">
      <w:pPr>
        <w:spacing w:line="480" w:lineRule="auto"/>
        <w:jc w:val="left"/>
        <w:rPr>
          <w:rFonts w:asciiTheme="majorHAnsi" w:hAnsiTheme="majorHAnsi" w:cstheme="majorHAnsi"/>
          <w:sz w:val="48"/>
          <w:szCs w:val="48"/>
        </w:rPr>
      </w:pPr>
      <w:r w:rsidRPr="00CC5896">
        <w:rPr>
          <w:rFonts w:asciiTheme="majorHAnsi" w:hAnsiTheme="majorHAnsi" w:cstheme="majorHAnsi"/>
          <w:sz w:val="48"/>
          <w:szCs w:val="48"/>
        </w:rPr>
        <w:t>Date of submission: 5</w:t>
      </w:r>
      <w:r w:rsidRPr="00CC5896">
        <w:rPr>
          <w:rFonts w:asciiTheme="majorHAnsi" w:hAnsiTheme="majorHAnsi" w:cstheme="majorHAnsi"/>
          <w:sz w:val="48"/>
          <w:szCs w:val="48"/>
          <w:vertAlign w:val="superscript"/>
        </w:rPr>
        <w:t>th</w:t>
      </w:r>
      <w:r w:rsidRPr="00CC5896">
        <w:rPr>
          <w:rFonts w:asciiTheme="majorHAnsi" w:hAnsiTheme="majorHAnsi" w:cstheme="majorHAnsi"/>
          <w:sz w:val="48"/>
          <w:szCs w:val="48"/>
        </w:rPr>
        <w:t xml:space="preserve"> </w:t>
      </w:r>
      <w:proofErr w:type="gramStart"/>
      <w:r w:rsidRPr="00CC5896">
        <w:rPr>
          <w:rFonts w:asciiTheme="majorHAnsi" w:hAnsiTheme="majorHAnsi" w:cstheme="majorHAnsi"/>
          <w:sz w:val="48"/>
          <w:szCs w:val="48"/>
        </w:rPr>
        <w:t>December,</w:t>
      </w:r>
      <w:proofErr w:type="gramEnd"/>
      <w:r w:rsidRPr="00CC5896">
        <w:rPr>
          <w:rFonts w:asciiTheme="majorHAnsi" w:hAnsiTheme="majorHAnsi" w:cstheme="majorHAnsi"/>
          <w:sz w:val="48"/>
          <w:szCs w:val="48"/>
        </w:rPr>
        <w:t xml:space="preserve"> 2023</w:t>
      </w:r>
    </w:p>
    <w:p w14:paraId="1060D8A1" w14:textId="6E634345" w:rsidR="00743060" w:rsidRPr="00CC5896" w:rsidRDefault="00743060">
      <w:pPr>
        <w:widowControl/>
        <w:jc w:val="left"/>
        <w:rPr>
          <w:rFonts w:asciiTheme="majorHAnsi" w:hAnsiTheme="majorHAnsi" w:cstheme="majorHAnsi"/>
          <w:sz w:val="48"/>
          <w:szCs w:val="48"/>
        </w:rPr>
      </w:pPr>
      <w:r w:rsidRPr="00CC5896">
        <w:rPr>
          <w:rFonts w:asciiTheme="majorHAnsi" w:hAnsiTheme="majorHAnsi" w:cstheme="majorHAnsi"/>
          <w:sz w:val="48"/>
          <w:szCs w:val="48"/>
        </w:rPr>
        <w:br w:type="page"/>
      </w:r>
    </w:p>
    <w:p w14:paraId="359A40DB" w14:textId="77777777"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lastRenderedPageBreak/>
        <w:t>Learning issues 1</w:t>
      </w:r>
      <w:r w:rsidRPr="00CC5896">
        <w:rPr>
          <w:rFonts w:asciiTheme="majorHAnsi" w:hAnsiTheme="majorHAnsi" w:cstheme="majorHAnsi"/>
          <w:sz w:val="24"/>
          <w:szCs w:val="24"/>
        </w:rPr>
        <w:t>：</w:t>
      </w:r>
    </w:p>
    <w:p w14:paraId="79B6DCEF" w14:textId="77777777"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Why is it necessary to check Renal function?</w:t>
      </w:r>
    </w:p>
    <w:tbl>
      <w:tblPr>
        <w:tblStyle w:val="a3"/>
        <w:tblW w:w="0" w:type="auto"/>
        <w:tblLook w:val="04A0" w:firstRow="1" w:lastRow="0" w:firstColumn="1" w:lastColumn="0" w:noHBand="0" w:noVBand="1"/>
      </w:tblPr>
      <w:tblGrid>
        <w:gridCol w:w="8296"/>
      </w:tblGrid>
      <w:tr w:rsidR="008E713C" w:rsidRPr="00CC5896" w14:paraId="1E5C4941" w14:textId="77777777" w:rsidTr="008E713C">
        <w:tc>
          <w:tcPr>
            <w:tcW w:w="8296" w:type="dxa"/>
          </w:tcPr>
          <w:p w14:paraId="4974BBFA" w14:textId="1919DD1D"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Checking renal function is part of a comprehensive patient assessment and provides valuable information for treatment decisions and prognosis, including medication management, and antibiotic dosing because renal function plays a crucial role in the elimination of metabolic waste caused by medication (Sandilands et al.,2013). While the patient has atrial fibrillation and hyperlipidemia, resulting in multiple medications to manage their conditions, and renal function tests serve as an important role in medication management (Lip, 1999). It can be explained by the metabolization of medications, such as Warfarin and Zocor, in the kidneys. As a result, monitoring the renal function becomes significant in case there is impaired renal function resulting in the clearance of these medications, leading to potential drug toxicity or reduced efficacy. Besides, Chest infections often require antibiotic treatment, while checking renal function helps determine the appropriate dosage and frequency of antibiotics to ensure optimal therapeutic outcomes (Matzke et al., 2011)</w:t>
            </w:r>
          </w:p>
        </w:tc>
      </w:tr>
    </w:tbl>
    <w:p w14:paraId="7746B2AF" w14:textId="77777777" w:rsidR="00743060" w:rsidRPr="00CC5896" w:rsidRDefault="00743060" w:rsidP="00CC5896">
      <w:pPr>
        <w:widowControl/>
        <w:spacing w:line="480" w:lineRule="auto"/>
        <w:rPr>
          <w:rFonts w:asciiTheme="majorHAnsi" w:hAnsiTheme="majorHAnsi" w:cstheme="majorHAnsi"/>
          <w:sz w:val="24"/>
          <w:szCs w:val="24"/>
        </w:rPr>
      </w:pPr>
    </w:p>
    <w:p w14:paraId="6F33ED67" w14:textId="76F6C710" w:rsidR="00743060" w:rsidRPr="00CC5896" w:rsidRDefault="00743060" w:rsidP="00CC5896">
      <w:pPr>
        <w:widowControl/>
        <w:spacing w:line="480" w:lineRule="auto"/>
        <w:jc w:val="left"/>
        <w:rPr>
          <w:rFonts w:asciiTheme="majorHAnsi" w:hAnsiTheme="majorHAnsi" w:cstheme="majorHAnsi"/>
          <w:sz w:val="24"/>
          <w:szCs w:val="24"/>
        </w:rPr>
      </w:pPr>
      <w:r w:rsidRPr="00CC5896">
        <w:rPr>
          <w:rFonts w:asciiTheme="majorHAnsi" w:hAnsiTheme="majorHAnsi" w:cstheme="majorHAnsi"/>
          <w:sz w:val="24"/>
          <w:szCs w:val="24"/>
        </w:rPr>
        <w:br w:type="page"/>
      </w:r>
    </w:p>
    <w:p w14:paraId="743FB5A8" w14:textId="77777777" w:rsidR="00743060" w:rsidRPr="00CC5896" w:rsidRDefault="00743060" w:rsidP="00CC5896">
      <w:pPr>
        <w:widowControl/>
        <w:spacing w:line="480" w:lineRule="auto"/>
        <w:rPr>
          <w:rFonts w:asciiTheme="majorHAnsi" w:hAnsiTheme="majorHAnsi" w:cstheme="majorHAnsi"/>
          <w:sz w:val="24"/>
          <w:szCs w:val="24"/>
        </w:rPr>
      </w:pPr>
    </w:p>
    <w:p w14:paraId="36277298" w14:textId="33A90A24"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Learning Issue 2:</w:t>
      </w:r>
    </w:p>
    <w:p w14:paraId="2263F388" w14:textId="77777777"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Based on the patient’s current state, what does an elevated Creatinine Level indicate?</w:t>
      </w:r>
    </w:p>
    <w:tbl>
      <w:tblPr>
        <w:tblStyle w:val="a3"/>
        <w:tblW w:w="0" w:type="auto"/>
        <w:tblLook w:val="04A0" w:firstRow="1" w:lastRow="0" w:firstColumn="1" w:lastColumn="0" w:noHBand="0" w:noVBand="1"/>
      </w:tblPr>
      <w:tblGrid>
        <w:gridCol w:w="8296"/>
      </w:tblGrid>
      <w:tr w:rsidR="008E713C" w:rsidRPr="00CC5896" w14:paraId="02829BA8" w14:textId="77777777" w:rsidTr="008E713C">
        <w:tc>
          <w:tcPr>
            <w:tcW w:w="8296" w:type="dxa"/>
          </w:tcPr>
          <w:p w14:paraId="063AF25C" w14:textId="77777777"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 xml:space="preserve">Creatinine is a chemical waste freely filtered and undergoes a small amount of secretion in the kidney for excretion, its level in blood can indicate the glomerular filtration rate which evaluates the kidney function (Mayo Foundation for Medical Education and Research [MFMER], 2023). While the patient's creatinine level is much higher than the reference range of 49-82 mmol/I, it indicates impaired kidney function (Syal et al., 2013). </w:t>
            </w:r>
          </w:p>
          <w:p w14:paraId="1E706241" w14:textId="77777777" w:rsidR="008E713C" w:rsidRPr="00CC5896" w:rsidRDefault="008E713C" w:rsidP="00CC5896">
            <w:pPr>
              <w:widowControl/>
              <w:spacing w:line="480" w:lineRule="auto"/>
              <w:rPr>
                <w:rFonts w:asciiTheme="majorHAnsi" w:hAnsiTheme="majorHAnsi" w:cstheme="majorHAnsi"/>
                <w:sz w:val="24"/>
                <w:szCs w:val="24"/>
              </w:rPr>
            </w:pPr>
          </w:p>
          <w:p w14:paraId="2910BF2B" w14:textId="13E66FD2"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Renal dysfunction is a sign of warning on dehydration and infection-induced sepsis. In general, hyperthermia causes dehydration by increasing fluid loss (</w:t>
            </w:r>
            <w:proofErr w:type="gramStart"/>
            <w:r w:rsidRPr="00CC5896">
              <w:rPr>
                <w:rFonts w:asciiTheme="majorHAnsi" w:hAnsiTheme="majorHAnsi" w:cstheme="majorHAnsi"/>
                <w:sz w:val="24"/>
                <w:szCs w:val="24"/>
              </w:rPr>
              <w:t>e.g.</w:t>
            </w:r>
            <w:proofErr w:type="gramEnd"/>
            <w:r w:rsidRPr="00CC5896">
              <w:rPr>
                <w:rFonts w:asciiTheme="majorHAnsi" w:hAnsiTheme="majorHAnsi" w:cstheme="majorHAnsi"/>
                <w:sz w:val="24"/>
                <w:szCs w:val="24"/>
              </w:rPr>
              <w:t xml:space="preserve"> sweating) (MFMER, 2021). Dehydration can cause waste, acids, and muscle proteins to accumulate in the body, causing kidney damage (National Kidney Foundation, 20</w:t>
            </w:r>
            <w:r w:rsidR="00CE5AEF">
              <w:rPr>
                <w:rFonts w:asciiTheme="majorHAnsi" w:hAnsiTheme="majorHAnsi" w:cstheme="majorHAnsi"/>
                <w:sz w:val="24"/>
                <w:szCs w:val="24"/>
              </w:rPr>
              <w:t>18</w:t>
            </w:r>
            <w:r w:rsidRPr="00CC5896">
              <w:rPr>
                <w:rFonts w:asciiTheme="majorHAnsi" w:hAnsiTheme="majorHAnsi" w:cstheme="majorHAnsi"/>
                <w:sz w:val="24"/>
                <w:szCs w:val="24"/>
              </w:rPr>
              <w:t>). Meanwhile, when the infection is not effectively controlled, the pathogens can enter the bloodstream. Once in the bloodstream, they can spread throughout the body and trigger sepsis (Stearns-Kurosawa, 2011). For sepsis, it causes a drop in blood pressure and compromises blood flow to the kidneys. Reduced blood flow to the kidneys can lead to acute kidney injury, resulting in increasing creatinine levels (Zarbock, 2014).</w:t>
            </w:r>
          </w:p>
        </w:tc>
      </w:tr>
    </w:tbl>
    <w:p w14:paraId="6F8278BA" w14:textId="77777777" w:rsidR="00743060" w:rsidRPr="00CC5896" w:rsidRDefault="00743060" w:rsidP="00CC5896">
      <w:pPr>
        <w:widowControl/>
        <w:spacing w:line="480" w:lineRule="auto"/>
        <w:rPr>
          <w:rFonts w:asciiTheme="majorHAnsi" w:hAnsiTheme="majorHAnsi" w:cstheme="majorHAnsi"/>
          <w:sz w:val="24"/>
          <w:szCs w:val="24"/>
        </w:rPr>
      </w:pPr>
    </w:p>
    <w:p w14:paraId="01488BD4" w14:textId="77777777" w:rsidR="007B1726" w:rsidRPr="00CC5896" w:rsidRDefault="007B1726" w:rsidP="00CC5896">
      <w:pPr>
        <w:widowControl/>
        <w:spacing w:line="480" w:lineRule="auto"/>
        <w:jc w:val="left"/>
        <w:rPr>
          <w:rFonts w:asciiTheme="majorHAnsi" w:hAnsiTheme="majorHAnsi" w:cstheme="majorHAnsi"/>
          <w:sz w:val="24"/>
          <w:szCs w:val="24"/>
        </w:rPr>
      </w:pPr>
      <w:r w:rsidRPr="00CC5896">
        <w:rPr>
          <w:rFonts w:asciiTheme="majorHAnsi" w:hAnsiTheme="majorHAnsi" w:cstheme="majorHAnsi"/>
          <w:sz w:val="24"/>
          <w:szCs w:val="24"/>
        </w:rPr>
        <w:br w:type="page"/>
      </w:r>
    </w:p>
    <w:p w14:paraId="20266F1C" w14:textId="30D1F248"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lastRenderedPageBreak/>
        <w:t>Learning issue 3</w:t>
      </w:r>
      <w:r w:rsidRPr="00CC5896">
        <w:rPr>
          <w:rFonts w:asciiTheme="majorHAnsi" w:hAnsiTheme="majorHAnsi" w:cstheme="majorHAnsi"/>
          <w:sz w:val="24"/>
          <w:szCs w:val="24"/>
        </w:rPr>
        <w:t>：</w:t>
      </w:r>
    </w:p>
    <w:p w14:paraId="7D81362C" w14:textId="77777777"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Based on the patient’s current state, what does crackles sound and left lower lobe consolidation means?</w:t>
      </w:r>
    </w:p>
    <w:tbl>
      <w:tblPr>
        <w:tblStyle w:val="a3"/>
        <w:tblW w:w="0" w:type="auto"/>
        <w:tblLook w:val="04A0" w:firstRow="1" w:lastRow="0" w:firstColumn="1" w:lastColumn="0" w:noHBand="0" w:noVBand="1"/>
      </w:tblPr>
      <w:tblGrid>
        <w:gridCol w:w="8296"/>
      </w:tblGrid>
      <w:tr w:rsidR="008E713C" w:rsidRPr="00CC5896" w14:paraId="1F192357" w14:textId="77777777" w:rsidTr="008E713C">
        <w:tc>
          <w:tcPr>
            <w:tcW w:w="8296" w:type="dxa"/>
          </w:tcPr>
          <w:p w14:paraId="1E81366B" w14:textId="77777777"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When using a stethoscope to auscultate the chest, one may detect aberrant lung sounds known as crackles. They can signal the presence of fluid or mucus in the airways or alveoli and are frequently characterized as fine or coarse crackling noises (</w:t>
            </w:r>
            <w:proofErr w:type="spellStart"/>
            <w:r w:rsidRPr="00CC5896">
              <w:rPr>
                <w:rFonts w:asciiTheme="majorHAnsi" w:hAnsiTheme="majorHAnsi" w:cstheme="majorHAnsi"/>
                <w:sz w:val="24"/>
                <w:szCs w:val="24"/>
              </w:rPr>
              <w:t>Piirilä</w:t>
            </w:r>
            <w:proofErr w:type="spellEnd"/>
            <w:r w:rsidRPr="00CC5896">
              <w:rPr>
                <w:rFonts w:asciiTheme="majorHAnsi" w:hAnsiTheme="majorHAnsi" w:cstheme="majorHAnsi"/>
                <w:sz w:val="24"/>
                <w:szCs w:val="24"/>
              </w:rPr>
              <w:t xml:space="preserve"> et al., 1991). Crackles may indicate a sign of pulmonary congestion or infection. For consolidation, which is the solidification of lung tissue, is generally brought on by a buildup of blood, fluid, or inflammatory exudate in the alveoli, which are the air sacs (</w:t>
            </w:r>
            <w:proofErr w:type="spellStart"/>
            <w:r w:rsidRPr="00CC5896">
              <w:rPr>
                <w:rFonts w:asciiTheme="majorHAnsi" w:hAnsiTheme="majorHAnsi" w:cstheme="majorHAnsi"/>
                <w:sz w:val="24"/>
                <w:szCs w:val="24"/>
              </w:rPr>
              <w:t>Shebl</w:t>
            </w:r>
            <w:proofErr w:type="spellEnd"/>
            <w:r w:rsidRPr="00CC5896">
              <w:rPr>
                <w:rFonts w:asciiTheme="majorHAnsi" w:hAnsiTheme="majorHAnsi" w:cstheme="majorHAnsi"/>
                <w:sz w:val="24"/>
                <w:szCs w:val="24"/>
              </w:rPr>
              <w:t xml:space="preserve"> &amp; Paul, 2020). Consolidation can be characterized by a dull percussion sound and increased breath sounds over the afflicted area. It can be noticed in a variety of illnesses, such as pneumonia or other infections.</w:t>
            </w:r>
          </w:p>
          <w:p w14:paraId="4FEBAB58" w14:textId="04120468"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In conclusion, Crackles sound and left lower lobe consolidation in the setting of the patient's chest illness may point to an infection or inflammatory process affecting the lung's left lower lobe.</w:t>
            </w:r>
          </w:p>
        </w:tc>
      </w:tr>
    </w:tbl>
    <w:p w14:paraId="4CA06310" w14:textId="77777777" w:rsidR="007B1726" w:rsidRPr="00CC5896" w:rsidRDefault="007B1726" w:rsidP="00CC5896">
      <w:pPr>
        <w:widowControl/>
        <w:spacing w:line="480" w:lineRule="auto"/>
        <w:rPr>
          <w:rFonts w:asciiTheme="majorHAnsi" w:hAnsiTheme="majorHAnsi" w:cstheme="majorHAnsi"/>
          <w:sz w:val="24"/>
          <w:szCs w:val="24"/>
        </w:rPr>
      </w:pPr>
    </w:p>
    <w:p w14:paraId="290F2F2B" w14:textId="77777777" w:rsidR="007B1726" w:rsidRPr="00CC5896" w:rsidRDefault="007B1726" w:rsidP="00CC5896">
      <w:pPr>
        <w:widowControl/>
        <w:spacing w:line="480" w:lineRule="auto"/>
        <w:jc w:val="left"/>
        <w:rPr>
          <w:rFonts w:asciiTheme="majorHAnsi" w:hAnsiTheme="majorHAnsi" w:cstheme="majorHAnsi"/>
          <w:sz w:val="24"/>
          <w:szCs w:val="24"/>
        </w:rPr>
      </w:pPr>
      <w:r w:rsidRPr="00CC5896">
        <w:rPr>
          <w:rFonts w:asciiTheme="majorHAnsi" w:hAnsiTheme="majorHAnsi" w:cstheme="majorHAnsi"/>
          <w:sz w:val="24"/>
          <w:szCs w:val="24"/>
        </w:rPr>
        <w:br w:type="page"/>
      </w:r>
    </w:p>
    <w:p w14:paraId="4888FEF9" w14:textId="56E84E42"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lastRenderedPageBreak/>
        <w:t>Learning issue 4</w:t>
      </w:r>
      <w:r w:rsidRPr="00CC5896">
        <w:rPr>
          <w:rFonts w:asciiTheme="majorHAnsi" w:hAnsiTheme="majorHAnsi" w:cstheme="majorHAnsi"/>
          <w:sz w:val="24"/>
          <w:szCs w:val="24"/>
        </w:rPr>
        <w:t>：</w:t>
      </w:r>
    </w:p>
    <w:p w14:paraId="4AAA82BA" w14:textId="77777777"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In which circumstances do patients with AF require anticoagulant medication?</w:t>
      </w:r>
    </w:p>
    <w:tbl>
      <w:tblPr>
        <w:tblStyle w:val="a3"/>
        <w:tblW w:w="0" w:type="auto"/>
        <w:tblLook w:val="04A0" w:firstRow="1" w:lastRow="0" w:firstColumn="1" w:lastColumn="0" w:noHBand="0" w:noVBand="1"/>
      </w:tblPr>
      <w:tblGrid>
        <w:gridCol w:w="8296"/>
      </w:tblGrid>
      <w:tr w:rsidR="008E713C" w:rsidRPr="00CC5896" w14:paraId="68DDE0DD" w14:textId="77777777" w:rsidTr="008E713C">
        <w:tc>
          <w:tcPr>
            <w:tcW w:w="8296" w:type="dxa"/>
          </w:tcPr>
          <w:p w14:paraId="6E0F29E9" w14:textId="77777777"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 xml:space="preserve">In certain situations, patients with atrial fibrillation (AF) need to take an anticoagulant medicine to lower their risk of thromboembolic events, such as stroke. The evaluation of stroke risk utilizing risk stratification scoring systems, named as CHA₂DS₂-VASc score, informs the decision to start anticoagulation (Kirchhof et al., 2016). Patients with AF may require anticoagulant treatment under the following conditions: </w:t>
            </w:r>
          </w:p>
          <w:p w14:paraId="48DBD004" w14:textId="77777777" w:rsidR="00EA5CA0" w:rsidRPr="00EA5CA0" w:rsidRDefault="00EA5CA0" w:rsidP="00EA5CA0">
            <w:pPr>
              <w:pStyle w:val="a4"/>
              <w:widowControl/>
              <w:numPr>
                <w:ilvl w:val="0"/>
                <w:numId w:val="3"/>
              </w:numPr>
              <w:spacing w:line="480" w:lineRule="auto"/>
              <w:ind w:firstLineChars="0"/>
              <w:rPr>
                <w:rFonts w:asciiTheme="majorHAnsi" w:hAnsiTheme="majorHAnsi" w:cstheme="majorHAnsi"/>
                <w:sz w:val="24"/>
                <w:szCs w:val="24"/>
              </w:rPr>
            </w:pPr>
            <w:r w:rsidRPr="00EA5CA0">
              <w:rPr>
                <w:rFonts w:asciiTheme="majorHAnsi" w:hAnsiTheme="majorHAnsi" w:cstheme="majorHAnsi"/>
                <w:sz w:val="24"/>
                <w:szCs w:val="24"/>
              </w:rPr>
              <w:t>The history of stroke, systemic embolism, or transient1. The history of stroke, systemic embolism, or transient ischemic attack (TIA) significantly increases the risk of ischemic stroke, contributing to a weighted score of 2 points. This indicates that patients are considered to have moderate to high stroke risk and are recommended to receive anticoagulation therapy (</w:t>
            </w:r>
            <w:proofErr w:type="spellStart"/>
            <w:r w:rsidRPr="00EA5CA0">
              <w:rPr>
                <w:rFonts w:asciiTheme="majorHAnsi" w:hAnsiTheme="majorHAnsi" w:cstheme="majorHAnsi"/>
                <w:sz w:val="24"/>
                <w:szCs w:val="24"/>
              </w:rPr>
              <w:t>Hindricks</w:t>
            </w:r>
            <w:proofErr w:type="spellEnd"/>
            <w:r w:rsidRPr="00EA5CA0">
              <w:rPr>
                <w:rFonts w:asciiTheme="majorHAnsi" w:hAnsiTheme="majorHAnsi" w:cstheme="majorHAnsi"/>
                <w:sz w:val="24"/>
                <w:szCs w:val="24"/>
              </w:rPr>
              <w:t xml:space="preserve"> et al., 2021).</w:t>
            </w:r>
          </w:p>
          <w:p w14:paraId="33C7F236" w14:textId="77777777" w:rsidR="00EA5CA0" w:rsidRPr="00EA5CA0" w:rsidRDefault="00EA5CA0" w:rsidP="00EA5CA0">
            <w:pPr>
              <w:pStyle w:val="a4"/>
              <w:widowControl/>
              <w:numPr>
                <w:ilvl w:val="0"/>
                <w:numId w:val="3"/>
              </w:numPr>
              <w:spacing w:line="480" w:lineRule="auto"/>
              <w:ind w:firstLineChars="0"/>
              <w:rPr>
                <w:rFonts w:asciiTheme="majorHAnsi" w:hAnsiTheme="majorHAnsi" w:cstheme="majorHAnsi"/>
                <w:sz w:val="24"/>
                <w:szCs w:val="24"/>
              </w:rPr>
            </w:pPr>
            <w:r w:rsidRPr="00EA5CA0">
              <w:rPr>
                <w:rFonts w:asciiTheme="majorHAnsi" w:hAnsiTheme="majorHAnsi" w:cstheme="majorHAnsi"/>
                <w:sz w:val="24"/>
                <w:szCs w:val="24"/>
              </w:rPr>
              <w:t>Patients with atrial fibrillation (AF) and intracranial hemorrhage (ICH), including hemorrhagic stroke, are at an extremely high risk of subsequent ischemic stroke. Recent observational studies suggest that these patients may benefit from oral anticoagulation (</w:t>
            </w:r>
            <w:proofErr w:type="spellStart"/>
            <w:r w:rsidRPr="00EA5CA0">
              <w:rPr>
                <w:rFonts w:asciiTheme="majorHAnsi" w:hAnsiTheme="majorHAnsi" w:cstheme="majorHAnsi"/>
                <w:sz w:val="24"/>
                <w:szCs w:val="24"/>
              </w:rPr>
              <w:t>Hindricks</w:t>
            </w:r>
            <w:proofErr w:type="spellEnd"/>
            <w:r w:rsidRPr="00EA5CA0">
              <w:rPr>
                <w:rFonts w:asciiTheme="majorHAnsi" w:hAnsiTheme="majorHAnsi" w:cstheme="majorHAnsi"/>
                <w:sz w:val="24"/>
                <w:szCs w:val="24"/>
              </w:rPr>
              <w:t xml:space="preserve"> et al., 2021).</w:t>
            </w:r>
          </w:p>
          <w:p w14:paraId="18A3C368" w14:textId="77777777" w:rsidR="00EA5CA0" w:rsidRPr="00EA5CA0" w:rsidRDefault="00EA5CA0" w:rsidP="00EA5CA0">
            <w:pPr>
              <w:pStyle w:val="a4"/>
              <w:widowControl/>
              <w:numPr>
                <w:ilvl w:val="0"/>
                <w:numId w:val="3"/>
              </w:numPr>
              <w:spacing w:line="480" w:lineRule="auto"/>
              <w:ind w:firstLineChars="0"/>
              <w:rPr>
                <w:rFonts w:asciiTheme="majorHAnsi" w:hAnsiTheme="majorHAnsi" w:cstheme="majorHAnsi"/>
                <w:sz w:val="24"/>
                <w:szCs w:val="24"/>
              </w:rPr>
            </w:pPr>
            <w:r w:rsidRPr="00EA5CA0">
              <w:rPr>
                <w:rFonts w:asciiTheme="majorHAnsi" w:hAnsiTheme="majorHAnsi" w:cstheme="majorHAnsi"/>
                <w:sz w:val="24"/>
                <w:szCs w:val="24"/>
              </w:rPr>
              <w:t>Patients with valvular AF, which includes rheumatic mitral stenosis, artificial heart valves, or valve repair, require oral anticoagulation. Due to their elevated risk of thromboembolic events, these individuals may require more intensive anticoagulation therapy (</w:t>
            </w:r>
            <w:proofErr w:type="spellStart"/>
            <w:r w:rsidRPr="00EA5CA0">
              <w:rPr>
                <w:rFonts w:asciiTheme="majorHAnsi" w:hAnsiTheme="majorHAnsi" w:cstheme="majorHAnsi"/>
                <w:sz w:val="24"/>
                <w:szCs w:val="24"/>
              </w:rPr>
              <w:t>Hindricks</w:t>
            </w:r>
            <w:proofErr w:type="spellEnd"/>
            <w:r w:rsidRPr="00EA5CA0">
              <w:rPr>
                <w:rFonts w:asciiTheme="majorHAnsi" w:hAnsiTheme="majorHAnsi" w:cstheme="majorHAnsi"/>
                <w:sz w:val="24"/>
                <w:szCs w:val="24"/>
              </w:rPr>
              <w:t xml:space="preserve"> et al., 2021).</w:t>
            </w:r>
          </w:p>
          <w:p w14:paraId="21F90267" w14:textId="51FF7017"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lastRenderedPageBreak/>
              <w:t>Congestive heart failure, hypertension, age, diabetes mellitus, history of stroke or transient ischemic attack, vascular disease, and female gender are among the variables included in this score (</w:t>
            </w:r>
            <w:proofErr w:type="spellStart"/>
            <w:r w:rsidR="00D20CE5" w:rsidRPr="00D20CE5">
              <w:rPr>
                <w:rFonts w:asciiTheme="majorHAnsi" w:hAnsiTheme="majorHAnsi" w:cstheme="majorHAnsi"/>
                <w:sz w:val="24"/>
                <w:szCs w:val="24"/>
              </w:rPr>
              <w:t>Hindricks</w:t>
            </w:r>
            <w:proofErr w:type="spellEnd"/>
            <w:r w:rsidRPr="00CC5896">
              <w:rPr>
                <w:rFonts w:asciiTheme="majorHAnsi" w:hAnsiTheme="majorHAnsi" w:cstheme="majorHAnsi"/>
                <w:sz w:val="24"/>
                <w:szCs w:val="24"/>
              </w:rPr>
              <w:t xml:space="preserve"> et al</w:t>
            </w:r>
            <w:r w:rsidR="00D20CE5">
              <w:rPr>
                <w:rFonts w:asciiTheme="majorHAnsi" w:hAnsiTheme="majorHAnsi" w:cstheme="majorHAnsi"/>
                <w:sz w:val="24"/>
                <w:szCs w:val="24"/>
              </w:rPr>
              <w:t>.</w:t>
            </w:r>
            <w:r w:rsidRPr="00CC5896">
              <w:rPr>
                <w:rFonts w:asciiTheme="majorHAnsi" w:hAnsiTheme="majorHAnsi" w:cstheme="majorHAnsi"/>
                <w:sz w:val="24"/>
                <w:szCs w:val="24"/>
              </w:rPr>
              <w:t>, 2021).</w:t>
            </w:r>
          </w:p>
        </w:tc>
      </w:tr>
    </w:tbl>
    <w:p w14:paraId="248FA503" w14:textId="4CAB9E1A" w:rsidR="00553DF7" w:rsidRPr="00CC5896" w:rsidRDefault="008E713C" w:rsidP="00CC5896">
      <w:pPr>
        <w:widowControl/>
        <w:wordWrap w:val="0"/>
        <w:spacing w:line="480" w:lineRule="auto"/>
        <w:jc w:val="right"/>
        <w:rPr>
          <w:rFonts w:asciiTheme="majorHAnsi" w:hAnsiTheme="majorHAnsi" w:cstheme="majorHAnsi"/>
          <w:sz w:val="24"/>
          <w:szCs w:val="24"/>
        </w:rPr>
      </w:pPr>
      <w:r w:rsidRPr="00CC5896">
        <w:rPr>
          <w:rFonts w:asciiTheme="majorHAnsi" w:hAnsiTheme="majorHAnsi" w:cstheme="majorHAnsi"/>
          <w:sz w:val="24"/>
          <w:szCs w:val="24"/>
        </w:rPr>
        <w:lastRenderedPageBreak/>
        <w:t xml:space="preserve">(Words Count: </w:t>
      </w:r>
      <w:r w:rsidR="00E827DF">
        <w:rPr>
          <w:rFonts w:asciiTheme="majorHAnsi" w:hAnsiTheme="majorHAnsi" w:cstheme="majorHAnsi"/>
          <w:sz w:val="24"/>
          <w:szCs w:val="24"/>
        </w:rPr>
        <w:t>764</w:t>
      </w:r>
      <w:r w:rsidRPr="00CC5896">
        <w:rPr>
          <w:rFonts w:asciiTheme="majorHAnsi" w:hAnsiTheme="majorHAnsi" w:cstheme="majorHAnsi"/>
          <w:sz w:val="24"/>
          <w:szCs w:val="24"/>
        </w:rPr>
        <w:t>)</w:t>
      </w:r>
    </w:p>
    <w:p w14:paraId="51FB87D4" w14:textId="40E69697" w:rsidR="00553DF7" w:rsidRPr="00CC5896" w:rsidRDefault="00553DF7" w:rsidP="00CC5896">
      <w:pPr>
        <w:widowControl/>
        <w:spacing w:line="480" w:lineRule="auto"/>
        <w:jc w:val="center"/>
        <w:rPr>
          <w:rFonts w:asciiTheme="majorHAnsi" w:hAnsiTheme="majorHAnsi" w:cstheme="majorHAnsi"/>
          <w:sz w:val="24"/>
          <w:szCs w:val="24"/>
        </w:rPr>
      </w:pPr>
      <w:r w:rsidRPr="00CC5896">
        <w:rPr>
          <w:rFonts w:asciiTheme="majorHAnsi" w:hAnsiTheme="majorHAnsi" w:cstheme="majorHAnsi"/>
          <w:sz w:val="24"/>
          <w:szCs w:val="24"/>
        </w:rPr>
        <w:br w:type="page"/>
      </w:r>
      <w:r w:rsidRPr="00CC5896">
        <w:rPr>
          <w:rFonts w:asciiTheme="majorHAnsi" w:hAnsiTheme="majorHAnsi" w:cstheme="majorHAnsi"/>
          <w:sz w:val="24"/>
          <w:szCs w:val="24"/>
        </w:rPr>
        <w:lastRenderedPageBreak/>
        <w:t>References</w:t>
      </w:r>
    </w:p>
    <w:p w14:paraId="5FA3BDE1"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E91B7E">
        <w:rPr>
          <w:rFonts w:asciiTheme="majorHAnsi" w:hAnsiTheme="majorHAnsi" w:cstheme="majorHAnsi"/>
          <w:sz w:val="24"/>
          <w:szCs w:val="24"/>
        </w:rPr>
        <w:t>Caruso</w:t>
      </w:r>
      <w:r>
        <w:rPr>
          <w:rFonts w:asciiTheme="majorHAnsi" w:hAnsiTheme="majorHAnsi" w:cstheme="majorHAnsi"/>
          <w:sz w:val="24"/>
          <w:szCs w:val="24"/>
        </w:rPr>
        <w:t xml:space="preserve">, S. (2021). </w:t>
      </w:r>
      <w:r w:rsidRPr="00E91B7E">
        <w:rPr>
          <w:rFonts w:asciiTheme="majorHAnsi" w:hAnsiTheme="majorHAnsi" w:cstheme="majorHAnsi"/>
          <w:sz w:val="24"/>
          <w:szCs w:val="24"/>
        </w:rPr>
        <w:t>Risk for Bleeding Nursing Diagnosis &amp; Care Plan</w:t>
      </w:r>
      <w:r>
        <w:rPr>
          <w:rFonts w:asciiTheme="majorHAnsi" w:hAnsiTheme="majorHAnsi" w:cstheme="majorHAnsi"/>
          <w:sz w:val="24"/>
          <w:szCs w:val="24"/>
        </w:rPr>
        <w:t xml:space="preserve">. </w:t>
      </w:r>
      <w:hyperlink r:id="rId7" w:history="1">
        <w:r w:rsidRPr="00877435">
          <w:rPr>
            <w:rStyle w:val="a5"/>
            <w:rFonts w:asciiTheme="majorHAnsi" w:hAnsiTheme="majorHAnsi" w:cstheme="majorHAnsi"/>
            <w:sz w:val="24"/>
            <w:szCs w:val="24"/>
          </w:rPr>
          <w:t>https://www.nursetogether.com/risk-for-bleeding-nursing-diagnosis-care-plan/</w:t>
        </w:r>
      </w:hyperlink>
      <w:r>
        <w:rPr>
          <w:rFonts w:asciiTheme="majorHAnsi" w:hAnsiTheme="majorHAnsi" w:cstheme="majorHAnsi"/>
          <w:sz w:val="24"/>
          <w:szCs w:val="24"/>
        </w:rPr>
        <w:t>.</w:t>
      </w:r>
    </w:p>
    <w:p w14:paraId="27B849B7"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Cumpian</w:t>
      </w:r>
      <w:r>
        <w:rPr>
          <w:rFonts w:asciiTheme="majorHAnsi" w:hAnsiTheme="majorHAnsi" w:cstheme="majorHAnsi"/>
          <w:sz w:val="24"/>
          <w:szCs w:val="24"/>
        </w:rPr>
        <w:t xml:space="preserve">, T. &amp; </w:t>
      </w:r>
      <w:r w:rsidRPr="0047359F">
        <w:rPr>
          <w:rFonts w:asciiTheme="majorHAnsi" w:hAnsiTheme="majorHAnsi" w:cstheme="majorHAnsi"/>
          <w:sz w:val="24"/>
          <w:szCs w:val="24"/>
        </w:rPr>
        <w:t>Lukey</w:t>
      </w:r>
      <w:r>
        <w:rPr>
          <w:rFonts w:asciiTheme="majorHAnsi" w:hAnsiTheme="majorHAnsi" w:cstheme="majorHAnsi"/>
          <w:sz w:val="24"/>
          <w:szCs w:val="24"/>
        </w:rPr>
        <w:t xml:space="preserve">, A. (2023). </w:t>
      </w:r>
      <w:r w:rsidRPr="0047359F">
        <w:rPr>
          <w:rFonts w:asciiTheme="majorHAnsi" w:hAnsiTheme="majorHAnsi" w:cstheme="majorHAnsi"/>
          <w:i/>
          <w:iCs/>
          <w:sz w:val="24"/>
          <w:szCs w:val="24"/>
        </w:rPr>
        <w:t>Constipation Nursing Diagnosis &amp; Care Plans</w:t>
      </w:r>
      <w:r>
        <w:rPr>
          <w:rFonts w:asciiTheme="majorHAnsi" w:hAnsiTheme="majorHAnsi" w:cstheme="majorHAnsi"/>
          <w:sz w:val="24"/>
          <w:szCs w:val="24"/>
        </w:rPr>
        <w:t xml:space="preserve">. </w:t>
      </w:r>
      <w:hyperlink r:id="rId8" w:history="1">
        <w:r w:rsidRPr="00877435">
          <w:rPr>
            <w:rStyle w:val="a5"/>
            <w:rFonts w:asciiTheme="majorHAnsi" w:hAnsiTheme="majorHAnsi" w:cstheme="majorHAnsi"/>
            <w:sz w:val="24"/>
            <w:szCs w:val="24"/>
          </w:rPr>
          <w:t>https://www.nursetogether.com/constipation-nursing-diagnosis-care-plan/</w:t>
        </w:r>
      </w:hyperlink>
      <w:r>
        <w:rPr>
          <w:rFonts w:asciiTheme="majorHAnsi" w:hAnsiTheme="majorHAnsi" w:cstheme="majorHAnsi"/>
          <w:sz w:val="24"/>
          <w:szCs w:val="24"/>
        </w:rPr>
        <w:t>.</w:t>
      </w:r>
    </w:p>
    <w:p w14:paraId="63F0B750"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Cumpian</w:t>
      </w:r>
      <w:r>
        <w:rPr>
          <w:rFonts w:asciiTheme="majorHAnsi" w:hAnsiTheme="majorHAnsi" w:cstheme="majorHAnsi"/>
          <w:sz w:val="24"/>
          <w:szCs w:val="24"/>
        </w:rPr>
        <w:t xml:space="preserve">, T. &amp; </w:t>
      </w:r>
      <w:r w:rsidRPr="0047359F">
        <w:rPr>
          <w:rFonts w:asciiTheme="majorHAnsi" w:hAnsiTheme="majorHAnsi" w:cstheme="majorHAnsi"/>
          <w:sz w:val="24"/>
          <w:szCs w:val="24"/>
        </w:rPr>
        <w:t>Lukey</w:t>
      </w:r>
      <w:r>
        <w:rPr>
          <w:rFonts w:asciiTheme="majorHAnsi" w:hAnsiTheme="majorHAnsi" w:cstheme="majorHAnsi"/>
          <w:sz w:val="24"/>
          <w:szCs w:val="24"/>
        </w:rPr>
        <w:t xml:space="preserve">, A. (2023). </w:t>
      </w:r>
      <w:r w:rsidRPr="004200AF">
        <w:rPr>
          <w:rFonts w:asciiTheme="majorHAnsi" w:hAnsiTheme="majorHAnsi" w:cstheme="majorHAnsi"/>
          <w:i/>
          <w:iCs/>
          <w:sz w:val="24"/>
          <w:szCs w:val="24"/>
        </w:rPr>
        <w:t>Fatigue Nursing Diagnosis &amp; Care Plans</w:t>
      </w:r>
      <w:r>
        <w:rPr>
          <w:rFonts w:asciiTheme="majorHAnsi" w:hAnsiTheme="majorHAnsi" w:cstheme="majorHAnsi"/>
          <w:sz w:val="24"/>
          <w:szCs w:val="24"/>
        </w:rPr>
        <w:t xml:space="preserve">. </w:t>
      </w:r>
      <w:hyperlink r:id="rId9" w:history="1">
        <w:r w:rsidRPr="00877435">
          <w:rPr>
            <w:rStyle w:val="a5"/>
            <w:rFonts w:asciiTheme="majorHAnsi" w:hAnsiTheme="majorHAnsi" w:cstheme="majorHAnsi"/>
            <w:sz w:val="24"/>
            <w:szCs w:val="24"/>
          </w:rPr>
          <w:t>https://www.nursetogether.com/fatigue-nursing-diagnosis-care-plan/</w:t>
        </w:r>
      </w:hyperlink>
      <w:r>
        <w:rPr>
          <w:rFonts w:asciiTheme="majorHAnsi" w:hAnsiTheme="majorHAnsi" w:cstheme="majorHAnsi"/>
          <w:sz w:val="24"/>
          <w:szCs w:val="24"/>
        </w:rPr>
        <w:t>.</w:t>
      </w:r>
    </w:p>
    <w:p w14:paraId="24B55CFE"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Cumpian</w:t>
      </w:r>
      <w:r>
        <w:rPr>
          <w:rFonts w:asciiTheme="majorHAnsi" w:hAnsiTheme="majorHAnsi" w:cstheme="majorHAnsi"/>
          <w:sz w:val="24"/>
          <w:szCs w:val="24"/>
        </w:rPr>
        <w:t xml:space="preserve">, T. &amp; </w:t>
      </w:r>
      <w:r w:rsidRPr="0047359F">
        <w:rPr>
          <w:rFonts w:asciiTheme="majorHAnsi" w:hAnsiTheme="majorHAnsi" w:cstheme="majorHAnsi"/>
          <w:sz w:val="24"/>
          <w:szCs w:val="24"/>
        </w:rPr>
        <w:t>Lukey</w:t>
      </w:r>
      <w:r>
        <w:rPr>
          <w:rFonts w:asciiTheme="majorHAnsi" w:hAnsiTheme="majorHAnsi" w:cstheme="majorHAnsi"/>
          <w:sz w:val="24"/>
          <w:szCs w:val="24"/>
        </w:rPr>
        <w:t xml:space="preserve">, A. (2023). </w:t>
      </w:r>
      <w:r w:rsidRPr="0047359F">
        <w:rPr>
          <w:rFonts w:asciiTheme="majorHAnsi" w:hAnsiTheme="majorHAnsi" w:cstheme="majorHAnsi"/>
          <w:i/>
          <w:iCs/>
          <w:sz w:val="24"/>
          <w:szCs w:val="24"/>
        </w:rPr>
        <w:t>Fluid Volume Deficit (Dehydration) Nursing Diagnosis &amp; Care Plans</w:t>
      </w:r>
      <w:r>
        <w:rPr>
          <w:rFonts w:asciiTheme="majorHAnsi" w:hAnsiTheme="majorHAnsi" w:cstheme="majorHAnsi"/>
          <w:sz w:val="24"/>
          <w:szCs w:val="24"/>
        </w:rPr>
        <w:t xml:space="preserve">. </w:t>
      </w:r>
      <w:hyperlink r:id="rId10" w:history="1">
        <w:r w:rsidRPr="00877435">
          <w:rPr>
            <w:rStyle w:val="a5"/>
            <w:rFonts w:asciiTheme="majorHAnsi" w:hAnsiTheme="majorHAnsi" w:cstheme="majorHAnsi"/>
            <w:sz w:val="24"/>
            <w:szCs w:val="24"/>
          </w:rPr>
          <w:t>https://www.nursetogether.com/fluid-volume-deficit-nursing-diagnosis-care-plan/</w:t>
        </w:r>
      </w:hyperlink>
      <w:r>
        <w:rPr>
          <w:rFonts w:asciiTheme="majorHAnsi" w:hAnsiTheme="majorHAnsi" w:cstheme="majorHAnsi"/>
          <w:sz w:val="24"/>
          <w:szCs w:val="24"/>
        </w:rPr>
        <w:t>.</w:t>
      </w:r>
    </w:p>
    <w:p w14:paraId="5CBD4973"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proofErr w:type="spellStart"/>
      <w:r w:rsidRPr="0047359F">
        <w:rPr>
          <w:rFonts w:asciiTheme="majorHAnsi" w:hAnsiTheme="majorHAnsi" w:cstheme="majorHAnsi"/>
          <w:sz w:val="24"/>
          <w:szCs w:val="24"/>
        </w:rPr>
        <w:t>Gandell</w:t>
      </w:r>
      <w:proofErr w:type="spellEnd"/>
      <w:r w:rsidRPr="0047359F">
        <w:rPr>
          <w:rFonts w:asciiTheme="majorHAnsi" w:hAnsiTheme="majorHAnsi" w:cstheme="majorHAnsi"/>
          <w:sz w:val="24"/>
          <w:szCs w:val="24"/>
        </w:rPr>
        <w:t xml:space="preserve">, D., Straus, S. E., </w:t>
      </w:r>
      <w:proofErr w:type="spellStart"/>
      <w:r w:rsidRPr="0047359F">
        <w:rPr>
          <w:rFonts w:asciiTheme="majorHAnsi" w:hAnsiTheme="majorHAnsi" w:cstheme="majorHAnsi"/>
          <w:sz w:val="24"/>
          <w:szCs w:val="24"/>
        </w:rPr>
        <w:t>Bundookwala</w:t>
      </w:r>
      <w:proofErr w:type="spellEnd"/>
      <w:r w:rsidRPr="0047359F">
        <w:rPr>
          <w:rFonts w:asciiTheme="majorHAnsi" w:hAnsiTheme="majorHAnsi" w:cstheme="majorHAnsi"/>
          <w:sz w:val="24"/>
          <w:szCs w:val="24"/>
        </w:rPr>
        <w:t xml:space="preserve">, M., Tsui, V., &amp; Alibhai, S. M. (2013). Treatment of constipation in older people. </w:t>
      </w:r>
      <w:proofErr w:type="spellStart"/>
      <w:r w:rsidRPr="0047359F">
        <w:rPr>
          <w:rFonts w:asciiTheme="majorHAnsi" w:hAnsiTheme="majorHAnsi" w:cstheme="majorHAnsi"/>
          <w:i/>
          <w:iCs/>
          <w:sz w:val="24"/>
          <w:szCs w:val="24"/>
        </w:rPr>
        <w:t>Cmaj</w:t>
      </w:r>
      <w:proofErr w:type="spellEnd"/>
      <w:r w:rsidRPr="0047359F">
        <w:rPr>
          <w:rFonts w:asciiTheme="majorHAnsi" w:hAnsiTheme="majorHAnsi" w:cstheme="majorHAnsi"/>
          <w:i/>
          <w:iCs/>
          <w:sz w:val="24"/>
          <w:szCs w:val="24"/>
        </w:rPr>
        <w:t>, 185</w:t>
      </w:r>
      <w:r w:rsidRPr="0047359F">
        <w:rPr>
          <w:rFonts w:asciiTheme="majorHAnsi" w:hAnsiTheme="majorHAnsi" w:cstheme="majorHAnsi"/>
          <w:sz w:val="24"/>
          <w:szCs w:val="24"/>
        </w:rPr>
        <w:t>(8), 663-670.</w:t>
      </w:r>
    </w:p>
    <w:p w14:paraId="64B79E10"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 xml:space="preserve">Gulanick, M., &amp; Myers, J. L. (2013). </w:t>
      </w:r>
      <w:r w:rsidRPr="0047359F">
        <w:rPr>
          <w:rFonts w:asciiTheme="majorHAnsi" w:hAnsiTheme="majorHAnsi" w:cstheme="majorHAnsi"/>
          <w:i/>
          <w:iCs/>
          <w:sz w:val="24"/>
          <w:szCs w:val="24"/>
        </w:rPr>
        <w:t>Nursing care plans: Diagnoses, interventions, and outcomes</w:t>
      </w:r>
      <w:r w:rsidRPr="0047359F">
        <w:rPr>
          <w:rFonts w:asciiTheme="majorHAnsi" w:hAnsiTheme="majorHAnsi" w:cstheme="majorHAnsi"/>
          <w:sz w:val="24"/>
          <w:szCs w:val="24"/>
        </w:rPr>
        <w:t>. Elsevier Health Sciences.</w:t>
      </w:r>
    </w:p>
    <w:p w14:paraId="7337AB1E"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 xml:space="preserve">Herdman, T. H., </w:t>
      </w:r>
      <w:proofErr w:type="spellStart"/>
      <w:r w:rsidRPr="0047359F">
        <w:rPr>
          <w:rFonts w:asciiTheme="majorHAnsi" w:hAnsiTheme="majorHAnsi" w:cstheme="majorHAnsi"/>
          <w:sz w:val="24"/>
          <w:szCs w:val="24"/>
        </w:rPr>
        <w:t>Kamitsuru</w:t>
      </w:r>
      <w:proofErr w:type="spellEnd"/>
      <w:r w:rsidRPr="0047359F">
        <w:rPr>
          <w:rFonts w:asciiTheme="majorHAnsi" w:hAnsiTheme="majorHAnsi" w:cstheme="majorHAnsi"/>
          <w:sz w:val="24"/>
          <w:szCs w:val="24"/>
        </w:rPr>
        <w:t xml:space="preserve">, S., &amp; Takao Lopes, C. (Eds.). (2021). </w:t>
      </w:r>
      <w:r w:rsidRPr="0047359F">
        <w:rPr>
          <w:rFonts w:asciiTheme="majorHAnsi" w:hAnsiTheme="majorHAnsi" w:cstheme="majorHAnsi"/>
          <w:i/>
          <w:iCs/>
          <w:sz w:val="24"/>
          <w:szCs w:val="24"/>
        </w:rPr>
        <w:t xml:space="preserve">NANDA International, Inc. nursing </w:t>
      </w:r>
      <w:proofErr w:type="gramStart"/>
      <w:r w:rsidRPr="0047359F">
        <w:rPr>
          <w:rFonts w:asciiTheme="majorHAnsi" w:hAnsiTheme="majorHAnsi" w:cstheme="majorHAnsi"/>
          <w:i/>
          <w:iCs/>
          <w:sz w:val="24"/>
          <w:szCs w:val="24"/>
        </w:rPr>
        <w:t>diagnoses :</w:t>
      </w:r>
      <w:proofErr w:type="gramEnd"/>
      <w:r w:rsidRPr="0047359F">
        <w:rPr>
          <w:rFonts w:asciiTheme="majorHAnsi" w:hAnsiTheme="majorHAnsi" w:cstheme="majorHAnsi"/>
          <w:i/>
          <w:iCs/>
          <w:sz w:val="24"/>
          <w:szCs w:val="24"/>
        </w:rPr>
        <w:t xml:space="preserve"> definitions and classification, 2021-2023 (2020th–2023rd, Twelfth edition. ed.)</w:t>
      </w:r>
      <w:r w:rsidRPr="0047359F">
        <w:rPr>
          <w:rFonts w:asciiTheme="majorHAnsi" w:hAnsiTheme="majorHAnsi" w:cstheme="majorHAnsi"/>
          <w:sz w:val="24"/>
          <w:szCs w:val="24"/>
        </w:rPr>
        <w:t>. Thieme.</w:t>
      </w:r>
    </w:p>
    <w:p w14:paraId="39AC9FE6"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E91B7E">
        <w:rPr>
          <w:rFonts w:asciiTheme="majorHAnsi" w:hAnsiTheme="majorHAnsi" w:cstheme="majorHAnsi"/>
          <w:sz w:val="24"/>
          <w:szCs w:val="24"/>
        </w:rPr>
        <w:t>Hill, M. F., &amp; Bordoni, B. (2022). Hyperlipidemia. In </w:t>
      </w:r>
      <w:r w:rsidRPr="00E91B7E">
        <w:rPr>
          <w:rFonts w:asciiTheme="majorHAnsi" w:hAnsiTheme="majorHAnsi" w:cstheme="majorHAnsi"/>
          <w:i/>
          <w:iCs/>
          <w:sz w:val="24"/>
          <w:szCs w:val="24"/>
        </w:rPr>
        <w:t>StatPearls [Internet]</w:t>
      </w:r>
      <w:r w:rsidRPr="00E91B7E">
        <w:rPr>
          <w:rFonts w:asciiTheme="majorHAnsi" w:hAnsiTheme="majorHAnsi" w:cstheme="majorHAnsi"/>
          <w:sz w:val="24"/>
          <w:szCs w:val="24"/>
        </w:rPr>
        <w:t>. StatPearls Publishing.</w:t>
      </w:r>
    </w:p>
    <w:p w14:paraId="2E7F1A17"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proofErr w:type="spellStart"/>
      <w:r w:rsidRPr="00D20CE5">
        <w:rPr>
          <w:rFonts w:asciiTheme="majorHAnsi" w:hAnsiTheme="majorHAnsi" w:cstheme="majorHAnsi"/>
          <w:sz w:val="24"/>
          <w:szCs w:val="24"/>
        </w:rPr>
        <w:t>Hindricks</w:t>
      </w:r>
      <w:proofErr w:type="spellEnd"/>
      <w:r w:rsidRPr="00D20CE5">
        <w:rPr>
          <w:rFonts w:asciiTheme="majorHAnsi" w:hAnsiTheme="majorHAnsi" w:cstheme="majorHAnsi"/>
          <w:sz w:val="24"/>
          <w:szCs w:val="24"/>
        </w:rPr>
        <w:t xml:space="preserve">, G., </w:t>
      </w:r>
      <w:proofErr w:type="spellStart"/>
      <w:r w:rsidRPr="00D20CE5">
        <w:rPr>
          <w:rFonts w:asciiTheme="majorHAnsi" w:hAnsiTheme="majorHAnsi" w:cstheme="majorHAnsi"/>
          <w:sz w:val="24"/>
          <w:szCs w:val="24"/>
        </w:rPr>
        <w:t>Potpara</w:t>
      </w:r>
      <w:proofErr w:type="spellEnd"/>
      <w:r w:rsidRPr="00D20CE5">
        <w:rPr>
          <w:rFonts w:asciiTheme="majorHAnsi" w:hAnsiTheme="majorHAnsi" w:cstheme="majorHAnsi"/>
          <w:sz w:val="24"/>
          <w:szCs w:val="24"/>
        </w:rPr>
        <w:t xml:space="preserve">, T., Dagres, N., Arbelo, E., </w:t>
      </w:r>
      <w:proofErr w:type="spellStart"/>
      <w:r w:rsidRPr="00D20CE5">
        <w:rPr>
          <w:rFonts w:asciiTheme="majorHAnsi" w:hAnsiTheme="majorHAnsi" w:cstheme="majorHAnsi"/>
          <w:sz w:val="24"/>
          <w:szCs w:val="24"/>
        </w:rPr>
        <w:t>Bax</w:t>
      </w:r>
      <w:proofErr w:type="spellEnd"/>
      <w:r w:rsidRPr="00D20CE5">
        <w:rPr>
          <w:rFonts w:asciiTheme="majorHAnsi" w:hAnsiTheme="majorHAnsi" w:cstheme="majorHAnsi"/>
          <w:sz w:val="24"/>
          <w:szCs w:val="24"/>
        </w:rPr>
        <w:t xml:space="preserve">, J. J., </w:t>
      </w:r>
      <w:proofErr w:type="spellStart"/>
      <w:r w:rsidRPr="00D20CE5">
        <w:rPr>
          <w:rFonts w:asciiTheme="majorHAnsi" w:hAnsiTheme="majorHAnsi" w:cstheme="majorHAnsi"/>
          <w:sz w:val="24"/>
          <w:szCs w:val="24"/>
        </w:rPr>
        <w:t>Blomström</w:t>
      </w:r>
      <w:proofErr w:type="spellEnd"/>
      <w:r w:rsidRPr="00D20CE5">
        <w:rPr>
          <w:rFonts w:asciiTheme="majorHAnsi" w:hAnsiTheme="majorHAnsi" w:cstheme="majorHAnsi"/>
          <w:sz w:val="24"/>
          <w:szCs w:val="24"/>
        </w:rPr>
        <w:t xml:space="preserve">-Lundqvist, C., ... &amp; Watkins, C. L. (2021). 2020 ESC Guidelines for the diagnosis and management of atrial fibrillation developed in collaboration with the European </w:t>
      </w:r>
      <w:r w:rsidRPr="00D20CE5">
        <w:rPr>
          <w:rFonts w:asciiTheme="majorHAnsi" w:hAnsiTheme="majorHAnsi" w:cstheme="majorHAnsi"/>
          <w:sz w:val="24"/>
          <w:szCs w:val="24"/>
        </w:rPr>
        <w:lastRenderedPageBreak/>
        <w:t xml:space="preserve">Association for Cardio-Thoracic Surgery (EACTS) The Task Force for the diagnosis and management of atrial fibrillation of the European Society of Cardiology (ESC) Developed with the special contribution of the European Heart Rhythm Association (EHRA) of the ESC. </w:t>
      </w:r>
      <w:r w:rsidRPr="00D20CE5">
        <w:rPr>
          <w:rFonts w:asciiTheme="majorHAnsi" w:hAnsiTheme="majorHAnsi" w:cstheme="majorHAnsi"/>
          <w:i/>
          <w:iCs/>
          <w:sz w:val="24"/>
          <w:szCs w:val="24"/>
        </w:rPr>
        <w:t>European heart journal, 42</w:t>
      </w:r>
      <w:r w:rsidRPr="00D20CE5">
        <w:rPr>
          <w:rFonts w:asciiTheme="majorHAnsi" w:hAnsiTheme="majorHAnsi" w:cstheme="majorHAnsi"/>
          <w:sz w:val="24"/>
          <w:szCs w:val="24"/>
        </w:rPr>
        <w:t>(5), 373-498.</w:t>
      </w:r>
    </w:p>
    <w:p w14:paraId="5D18AE88"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E91B7E">
        <w:rPr>
          <w:rFonts w:asciiTheme="majorHAnsi" w:hAnsiTheme="majorHAnsi" w:cstheme="majorHAnsi"/>
          <w:sz w:val="24"/>
          <w:szCs w:val="24"/>
        </w:rPr>
        <w:t xml:space="preserve">Huff, T., Boyd, B., &amp; </w:t>
      </w:r>
      <w:proofErr w:type="spellStart"/>
      <w:r w:rsidRPr="00E91B7E">
        <w:rPr>
          <w:rFonts w:asciiTheme="majorHAnsi" w:hAnsiTheme="majorHAnsi" w:cstheme="majorHAnsi"/>
          <w:sz w:val="24"/>
          <w:szCs w:val="24"/>
        </w:rPr>
        <w:t>Jialal</w:t>
      </w:r>
      <w:proofErr w:type="spellEnd"/>
      <w:r w:rsidRPr="00E91B7E">
        <w:rPr>
          <w:rFonts w:asciiTheme="majorHAnsi" w:hAnsiTheme="majorHAnsi" w:cstheme="majorHAnsi"/>
          <w:sz w:val="24"/>
          <w:szCs w:val="24"/>
        </w:rPr>
        <w:t>, I. (2017). Physiology, cholesterol.</w:t>
      </w:r>
      <w:r>
        <w:rPr>
          <w:rFonts w:asciiTheme="majorHAnsi" w:hAnsiTheme="majorHAnsi" w:cstheme="majorHAnsi"/>
          <w:sz w:val="24"/>
          <w:szCs w:val="24"/>
        </w:rPr>
        <w:t xml:space="preserve"> </w:t>
      </w:r>
      <w:r w:rsidRPr="00E91B7E">
        <w:rPr>
          <w:rFonts w:asciiTheme="majorHAnsi" w:hAnsiTheme="majorHAnsi" w:cstheme="majorHAnsi"/>
          <w:sz w:val="24"/>
          <w:szCs w:val="24"/>
        </w:rPr>
        <w:t>In </w:t>
      </w:r>
      <w:r w:rsidRPr="00E91B7E">
        <w:rPr>
          <w:rFonts w:asciiTheme="majorHAnsi" w:hAnsiTheme="majorHAnsi" w:cstheme="majorHAnsi"/>
          <w:i/>
          <w:iCs/>
          <w:sz w:val="24"/>
          <w:szCs w:val="24"/>
        </w:rPr>
        <w:t>StatPearls [Internet]</w:t>
      </w:r>
      <w:r w:rsidRPr="00E91B7E">
        <w:rPr>
          <w:rFonts w:asciiTheme="majorHAnsi" w:hAnsiTheme="majorHAnsi" w:cstheme="majorHAnsi"/>
          <w:sz w:val="24"/>
          <w:szCs w:val="24"/>
        </w:rPr>
        <w:t>. StatPearls Publishing.</w:t>
      </w:r>
    </w:p>
    <w:p w14:paraId="16EC90DE"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Kirchhof, P., Benussi, S., Kotecha, D., </w:t>
      </w:r>
      <w:proofErr w:type="spellStart"/>
      <w:r w:rsidRPr="004455F6">
        <w:rPr>
          <w:rFonts w:asciiTheme="majorHAnsi" w:hAnsiTheme="majorHAnsi" w:cstheme="majorHAnsi"/>
          <w:sz w:val="24"/>
          <w:szCs w:val="24"/>
        </w:rPr>
        <w:t>Ahlsson</w:t>
      </w:r>
      <w:proofErr w:type="spellEnd"/>
      <w:r w:rsidRPr="004455F6">
        <w:rPr>
          <w:rFonts w:asciiTheme="majorHAnsi" w:hAnsiTheme="majorHAnsi" w:cstheme="majorHAnsi"/>
          <w:sz w:val="24"/>
          <w:szCs w:val="24"/>
        </w:rPr>
        <w:t xml:space="preserve">, A., Atar, D., Casadei, B., Castella, M., Diener, H.-C., </w:t>
      </w:r>
      <w:proofErr w:type="spellStart"/>
      <w:r w:rsidRPr="004455F6">
        <w:rPr>
          <w:rFonts w:asciiTheme="majorHAnsi" w:hAnsiTheme="majorHAnsi" w:cstheme="majorHAnsi"/>
          <w:sz w:val="24"/>
          <w:szCs w:val="24"/>
        </w:rPr>
        <w:t>Heidbuchel</w:t>
      </w:r>
      <w:proofErr w:type="spellEnd"/>
      <w:r w:rsidRPr="004455F6">
        <w:rPr>
          <w:rFonts w:asciiTheme="majorHAnsi" w:hAnsiTheme="majorHAnsi" w:cstheme="majorHAnsi"/>
          <w:sz w:val="24"/>
          <w:szCs w:val="24"/>
        </w:rPr>
        <w:t xml:space="preserve">, H., Hendriks, J., </w:t>
      </w:r>
      <w:proofErr w:type="spellStart"/>
      <w:r w:rsidRPr="004455F6">
        <w:rPr>
          <w:rFonts w:asciiTheme="majorHAnsi" w:hAnsiTheme="majorHAnsi" w:cstheme="majorHAnsi"/>
          <w:sz w:val="24"/>
          <w:szCs w:val="24"/>
        </w:rPr>
        <w:t>Hindricks</w:t>
      </w:r>
      <w:proofErr w:type="spellEnd"/>
      <w:r w:rsidRPr="004455F6">
        <w:rPr>
          <w:rFonts w:asciiTheme="majorHAnsi" w:hAnsiTheme="majorHAnsi" w:cstheme="majorHAnsi"/>
          <w:sz w:val="24"/>
          <w:szCs w:val="24"/>
        </w:rPr>
        <w:t xml:space="preserve">, G., Manolis, A.S., </w:t>
      </w:r>
      <w:proofErr w:type="spellStart"/>
      <w:r w:rsidRPr="004455F6">
        <w:rPr>
          <w:rFonts w:asciiTheme="majorHAnsi" w:hAnsiTheme="majorHAnsi" w:cstheme="majorHAnsi"/>
          <w:sz w:val="24"/>
          <w:szCs w:val="24"/>
        </w:rPr>
        <w:t>Oldgren</w:t>
      </w:r>
      <w:proofErr w:type="spellEnd"/>
      <w:r w:rsidRPr="004455F6">
        <w:rPr>
          <w:rFonts w:asciiTheme="majorHAnsi" w:hAnsiTheme="majorHAnsi" w:cstheme="majorHAnsi"/>
          <w:sz w:val="24"/>
          <w:szCs w:val="24"/>
        </w:rPr>
        <w:t xml:space="preserve">, J., Popescu, B.A., </w:t>
      </w:r>
      <w:proofErr w:type="spellStart"/>
      <w:r w:rsidRPr="004455F6">
        <w:rPr>
          <w:rFonts w:asciiTheme="majorHAnsi" w:hAnsiTheme="majorHAnsi" w:cstheme="majorHAnsi"/>
          <w:sz w:val="24"/>
          <w:szCs w:val="24"/>
        </w:rPr>
        <w:t>Schotten</w:t>
      </w:r>
      <w:proofErr w:type="spellEnd"/>
      <w:r w:rsidRPr="004455F6">
        <w:rPr>
          <w:rFonts w:asciiTheme="majorHAnsi" w:hAnsiTheme="majorHAnsi" w:cstheme="majorHAnsi"/>
          <w:sz w:val="24"/>
          <w:szCs w:val="24"/>
        </w:rPr>
        <w:t xml:space="preserve">, U., Van Putte, B., </w:t>
      </w:r>
      <w:proofErr w:type="spellStart"/>
      <w:r w:rsidRPr="004455F6">
        <w:rPr>
          <w:rFonts w:asciiTheme="majorHAnsi" w:hAnsiTheme="majorHAnsi" w:cstheme="majorHAnsi"/>
          <w:sz w:val="24"/>
          <w:szCs w:val="24"/>
        </w:rPr>
        <w:t>Vardas</w:t>
      </w:r>
      <w:proofErr w:type="spellEnd"/>
      <w:r w:rsidRPr="004455F6">
        <w:rPr>
          <w:rFonts w:asciiTheme="majorHAnsi" w:hAnsiTheme="majorHAnsi" w:cstheme="majorHAnsi"/>
          <w:sz w:val="24"/>
          <w:szCs w:val="24"/>
        </w:rPr>
        <w:t xml:space="preserve">, P., </w:t>
      </w:r>
      <w:proofErr w:type="spellStart"/>
      <w:r w:rsidRPr="004455F6">
        <w:rPr>
          <w:rFonts w:asciiTheme="majorHAnsi" w:hAnsiTheme="majorHAnsi" w:cstheme="majorHAnsi"/>
          <w:sz w:val="24"/>
          <w:szCs w:val="24"/>
        </w:rPr>
        <w:t>Agewall</w:t>
      </w:r>
      <w:proofErr w:type="spellEnd"/>
      <w:r w:rsidRPr="004455F6">
        <w:rPr>
          <w:rFonts w:asciiTheme="majorHAnsi" w:hAnsiTheme="majorHAnsi" w:cstheme="majorHAnsi"/>
          <w:sz w:val="24"/>
          <w:szCs w:val="24"/>
        </w:rPr>
        <w:t xml:space="preserve">, S., Camm, J. and Baron Esquivias, G. (2016). 2016 ESC Guidelines for the management of atrial fibrillation developed in collaboration with EACTS. </w:t>
      </w:r>
      <w:r w:rsidRPr="004455F6">
        <w:rPr>
          <w:rFonts w:asciiTheme="majorHAnsi" w:hAnsiTheme="majorHAnsi" w:cstheme="majorHAnsi"/>
          <w:i/>
          <w:iCs/>
          <w:sz w:val="24"/>
          <w:szCs w:val="24"/>
        </w:rPr>
        <w:t>European Heart Journal, 37</w:t>
      </w:r>
      <w:r w:rsidRPr="004455F6">
        <w:rPr>
          <w:rFonts w:asciiTheme="majorHAnsi" w:hAnsiTheme="majorHAnsi" w:cstheme="majorHAnsi"/>
          <w:sz w:val="24"/>
          <w:szCs w:val="24"/>
        </w:rPr>
        <w:t xml:space="preserve">(38), 2893–2962. </w:t>
      </w:r>
      <w:hyperlink r:id="rId11" w:history="1">
        <w:r w:rsidRPr="004455F6">
          <w:rPr>
            <w:rStyle w:val="a5"/>
            <w:rFonts w:asciiTheme="majorHAnsi" w:hAnsiTheme="majorHAnsi" w:cstheme="majorHAnsi"/>
            <w:sz w:val="24"/>
            <w:szCs w:val="24"/>
          </w:rPr>
          <w:t>https://doi.org/10.1093/eurheartj/ehw210</w:t>
        </w:r>
      </w:hyperlink>
      <w:r w:rsidRPr="004455F6">
        <w:rPr>
          <w:rFonts w:asciiTheme="majorHAnsi" w:hAnsiTheme="majorHAnsi" w:cstheme="majorHAnsi"/>
          <w:sz w:val="24"/>
          <w:szCs w:val="24"/>
        </w:rPr>
        <w:t>.</w:t>
      </w:r>
    </w:p>
    <w:p w14:paraId="0C7E58FD"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Lip, G. (1999). Atrial fibrillation and mortality. </w:t>
      </w:r>
      <w:r w:rsidRPr="004455F6">
        <w:rPr>
          <w:rFonts w:asciiTheme="majorHAnsi" w:hAnsiTheme="majorHAnsi" w:cstheme="majorHAnsi"/>
          <w:i/>
          <w:iCs/>
          <w:sz w:val="24"/>
          <w:szCs w:val="24"/>
        </w:rPr>
        <w:t>European Heart Journal, 20</w:t>
      </w:r>
      <w:r w:rsidRPr="004455F6">
        <w:rPr>
          <w:rFonts w:asciiTheme="majorHAnsi" w:hAnsiTheme="majorHAnsi" w:cstheme="majorHAnsi"/>
          <w:sz w:val="24"/>
          <w:szCs w:val="24"/>
        </w:rPr>
        <w:t xml:space="preserve">(21), 1525–1527. </w:t>
      </w:r>
      <w:hyperlink r:id="rId12" w:history="1">
        <w:r w:rsidRPr="004455F6">
          <w:rPr>
            <w:rStyle w:val="a5"/>
            <w:rFonts w:asciiTheme="majorHAnsi" w:hAnsiTheme="majorHAnsi" w:cstheme="majorHAnsi"/>
            <w:sz w:val="24"/>
            <w:szCs w:val="24"/>
          </w:rPr>
          <w:t>https://doi.org/10.1053/euhj.1999.1781</w:t>
        </w:r>
      </w:hyperlink>
    </w:p>
    <w:p w14:paraId="66288832"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Lukey</w:t>
      </w:r>
      <w:r>
        <w:rPr>
          <w:rFonts w:asciiTheme="majorHAnsi" w:hAnsiTheme="majorHAnsi" w:cstheme="majorHAnsi"/>
          <w:sz w:val="24"/>
          <w:szCs w:val="24"/>
        </w:rPr>
        <w:t xml:space="preserve">, A. &amp; </w:t>
      </w:r>
      <w:r w:rsidRPr="0047359F">
        <w:rPr>
          <w:rFonts w:asciiTheme="majorHAnsi" w:hAnsiTheme="majorHAnsi" w:cstheme="majorHAnsi"/>
          <w:sz w:val="24"/>
          <w:szCs w:val="24"/>
        </w:rPr>
        <w:t>Wagner,</w:t>
      </w:r>
      <w:r>
        <w:rPr>
          <w:rFonts w:asciiTheme="majorHAnsi" w:hAnsiTheme="majorHAnsi" w:cstheme="majorHAnsi"/>
          <w:sz w:val="24"/>
          <w:szCs w:val="24"/>
        </w:rPr>
        <w:t xml:space="preserve"> M. (2023). </w:t>
      </w:r>
      <w:r w:rsidRPr="0047359F">
        <w:rPr>
          <w:rFonts w:asciiTheme="majorHAnsi" w:hAnsiTheme="majorHAnsi" w:cstheme="majorHAnsi"/>
          <w:i/>
          <w:iCs/>
          <w:sz w:val="24"/>
          <w:szCs w:val="24"/>
        </w:rPr>
        <w:t>Ineffective Health Maintenance Nursing Diagnosis &amp; Care Plans</w:t>
      </w:r>
      <w:r>
        <w:rPr>
          <w:rFonts w:asciiTheme="majorHAnsi" w:hAnsiTheme="majorHAnsi" w:cstheme="majorHAnsi"/>
          <w:sz w:val="24"/>
          <w:szCs w:val="24"/>
        </w:rPr>
        <w:t xml:space="preserve">. </w:t>
      </w:r>
      <w:hyperlink r:id="rId13" w:history="1">
        <w:r w:rsidRPr="00877435">
          <w:rPr>
            <w:rStyle w:val="a5"/>
            <w:rFonts w:asciiTheme="majorHAnsi" w:hAnsiTheme="majorHAnsi" w:cstheme="majorHAnsi"/>
            <w:sz w:val="24"/>
            <w:szCs w:val="24"/>
          </w:rPr>
          <w:t>https://www.nursetogether.com/ineffective-health-maintenance-nursing-diagnosis-care-plan/</w:t>
        </w:r>
      </w:hyperlink>
      <w:r>
        <w:rPr>
          <w:rFonts w:asciiTheme="majorHAnsi" w:hAnsiTheme="majorHAnsi" w:cstheme="majorHAnsi"/>
          <w:sz w:val="24"/>
          <w:szCs w:val="24"/>
        </w:rPr>
        <w:t>.</w:t>
      </w:r>
    </w:p>
    <w:p w14:paraId="3BFDDF66"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Lukey</w:t>
      </w:r>
      <w:r>
        <w:rPr>
          <w:rFonts w:asciiTheme="majorHAnsi" w:hAnsiTheme="majorHAnsi" w:cstheme="majorHAnsi"/>
          <w:sz w:val="24"/>
          <w:szCs w:val="24"/>
        </w:rPr>
        <w:t xml:space="preserve">, A. &amp; </w:t>
      </w:r>
      <w:r w:rsidRPr="0047359F">
        <w:rPr>
          <w:rFonts w:asciiTheme="majorHAnsi" w:hAnsiTheme="majorHAnsi" w:cstheme="majorHAnsi"/>
          <w:sz w:val="24"/>
          <w:szCs w:val="24"/>
        </w:rPr>
        <w:t>Wagner,</w:t>
      </w:r>
      <w:r>
        <w:rPr>
          <w:rFonts w:asciiTheme="majorHAnsi" w:hAnsiTheme="majorHAnsi" w:cstheme="majorHAnsi"/>
          <w:sz w:val="24"/>
          <w:szCs w:val="24"/>
        </w:rPr>
        <w:t xml:space="preserve"> M. (2023). </w:t>
      </w:r>
      <w:r w:rsidRPr="00E91B7E">
        <w:rPr>
          <w:rFonts w:asciiTheme="majorHAnsi" w:hAnsiTheme="majorHAnsi" w:cstheme="majorHAnsi"/>
          <w:i/>
          <w:iCs/>
          <w:sz w:val="24"/>
          <w:szCs w:val="24"/>
        </w:rPr>
        <w:t>Ineffective Tissue Perfusion Nursing Diagnosis &amp; Care Plans</w:t>
      </w:r>
      <w:r>
        <w:rPr>
          <w:rFonts w:asciiTheme="majorHAnsi" w:hAnsiTheme="majorHAnsi" w:cstheme="majorHAnsi"/>
          <w:sz w:val="24"/>
          <w:szCs w:val="24"/>
        </w:rPr>
        <w:t xml:space="preserve">. </w:t>
      </w:r>
      <w:hyperlink r:id="rId14" w:history="1">
        <w:r w:rsidRPr="00877435">
          <w:rPr>
            <w:rStyle w:val="a5"/>
            <w:rFonts w:asciiTheme="majorHAnsi" w:hAnsiTheme="majorHAnsi" w:cstheme="majorHAnsi"/>
            <w:sz w:val="24"/>
            <w:szCs w:val="24"/>
          </w:rPr>
          <w:t>https://www.nursetogether.com/ineffective-tissue-perfusion-nursing-diagnosis-care-plan/</w:t>
        </w:r>
      </w:hyperlink>
      <w:r>
        <w:rPr>
          <w:rFonts w:asciiTheme="majorHAnsi" w:hAnsiTheme="majorHAnsi" w:cstheme="majorHAnsi"/>
          <w:sz w:val="24"/>
          <w:szCs w:val="24"/>
        </w:rPr>
        <w:t>.</w:t>
      </w:r>
    </w:p>
    <w:p w14:paraId="157021DA" w14:textId="77777777" w:rsidR="004200AF" w:rsidRPr="004455F6" w:rsidRDefault="004200AF" w:rsidP="004200AF">
      <w:pPr>
        <w:widowControl/>
        <w:spacing w:line="480" w:lineRule="auto"/>
        <w:ind w:left="480" w:hangingChars="200" w:hanging="480"/>
        <w:jc w:val="left"/>
        <w:rPr>
          <w:rFonts w:asciiTheme="majorHAnsi" w:hAnsiTheme="majorHAnsi" w:cstheme="majorHAnsi"/>
          <w:color w:val="222222"/>
          <w:sz w:val="24"/>
          <w:szCs w:val="24"/>
          <w:shd w:val="clear" w:color="auto" w:fill="FFFFFF"/>
        </w:rPr>
      </w:pPr>
      <w:r w:rsidRPr="004455F6">
        <w:rPr>
          <w:rFonts w:asciiTheme="majorHAnsi" w:hAnsiTheme="majorHAnsi" w:cstheme="majorHAnsi"/>
          <w:color w:val="222222"/>
          <w:sz w:val="24"/>
          <w:szCs w:val="24"/>
          <w:shd w:val="clear" w:color="auto" w:fill="FFFFFF"/>
        </w:rPr>
        <w:lastRenderedPageBreak/>
        <w:t xml:space="preserve">Matzke, G. R., Aronoff, G. R., Atkinson Jr, A. J., Bennett, W. M., Decker, B. S., Eckardt, K. U., ... &amp; Murray, P. (2011). Drug dosing consideration in patients with acute and chronic kidney disease—a clinical update from </w:t>
      </w:r>
      <w:proofErr w:type="gramStart"/>
      <w:r w:rsidRPr="004455F6">
        <w:rPr>
          <w:rFonts w:asciiTheme="majorHAnsi" w:hAnsiTheme="majorHAnsi" w:cstheme="majorHAnsi"/>
          <w:color w:val="222222"/>
          <w:sz w:val="24"/>
          <w:szCs w:val="24"/>
          <w:shd w:val="clear" w:color="auto" w:fill="FFFFFF"/>
        </w:rPr>
        <w:t>Kidney Disease</w:t>
      </w:r>
      <w:proofErr w:type="gramEnd"/>
      <w:r w:rsidRPr="004455F6">
        <w:rPr>
          <w:rFonts w:asciiTheme="majorHAnsi" w:hAnsiTheme="majorHAnsi" w:cstheme="majorHAnsi"/>
          <w:color w:val="222222"/>
          <w:sz w:val="24"/>
          <w:szCs w:val="24"/>
          <w:shd w:val="clear" w:color="auto" w:fill="FFFFFF"/>
        </w:rPr>
        <w:t>: Improving Global Outcomes (KDIGO). </w:t>
      </w:r>
      <w:r w:rsidRPr="004455F6">
        <w:rPr>
          <w:rFonts w:asciiTheme="majorHAnsi" w:hAnsiTheme="majorHAnsi" w:cstheme="majorHAnsi"/>
          <w:i/>
          <w:iCs/>
          <w:color w:val="222222"/>
          <w:sz w:val="24"/>
          <w:szCs w:val="24"/>
          <w:shd w:val="clear" w:color="auto" w:fill="FFFFFF"/>
        </w:rPr>
        <w:t>Kidney international</w:t>
      </w:r>
      <w:r w:rsidRPr="004455F6">
        <w:rPr>
          <w:rFonts w:asciiTheme="majorHAnsi" w:hAnsiTheme="majorHAnsi" w:cstheme="majorHAnsi"/>
          <w:color w:val="222222"/>
          <w:sz w:val="24"/>
          <w:szCs w:val="24"/>
          <w:shd w:val="clear" w:color="auto" w:fill="FFFFFF"/>
        </w:rPr>
        <w:t>, </w:t>
      </w:r>
      <w:r w:rsidRPr="004455F6">
        <w:rPr>
          <w:rFonts w:asciiTheme="majorHAnsi" w:hAnsiTheme="majorHAnsi" w:cstheme="majorHAnsi"/>
          <w:i/>
          <w:iCs/>
          <w:color w:val="222222"/>
          <w:sz w:val="24"/>
          <w:szCs w:val="24"/>
          <w:shd w:val="clear" w:color="auto" w:fill="FFFFFF"/>
        </w:rPr>
        <w:t>80</w:t>
      </w:r>
      <w:r w:rsidRPr="004455F6">
        <w:rPr>
          <w:rFonts w:asciiTheme="majorHAnsi" w:hAnsiTheme="majorHAnsi" w:cstheme="majorHAnsi"/>
          <w:color w:val="222222"/>
          <w:sz w:val="24"/>
          <w:szCs w:val="24"/>
          <w:shd w:val="clear" w:color="auto" w:fill="FFFFFF"/>
        </w:rPr>
        <w:t>(11), 1122-1137.</w:t>
      </w:r>
    </w:p>
    <w:p w14:paraId="09CF5ADA"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Mayo Foundation for Medical Education and Research (2021). </w:t>
      </w:r>
      <w:r w:rsidRPr="004455F6">
        <w:rPr>
          <w:rFonts w:asciiTheme="majorHAnsi" w:hAnsiTheme="majorHAnsi" w:cstheme="majorHAnsi"/>
          <w:i/>
          <w:iCs/>
          <w:sz w:val="24"/>
          <w:szCs w:val="24"/>
        </w:rPr>
        <w:t>Dehydration - Mayo Clinic</w:t>
      </w:r>
      <w:r w:rsidRPr="004455F6">
        <w:rPr>
          <w:rFonts w:asciiTheme="majorHAnsi" w:hAnsiTheme="majorHAnsi" w:cstheme="majorHAnsi"/>
          <w:sz w:val="24"/>
          <w:szCs w:val="24"/>
        </w:rPr>
        <w:t xml:space="preserve">. </w:t>
      </w:r>
      <w:hyperlink r:id="rId15" w:history="1">
        <w:r w:rsidRPr="004455F6">
          <w:rPr>
            <w:rStyle w:val="a5"/>
            <w:rFonts w:asciiTheme="majorHAnsi" w:hAnsiTheme="majorHAnsi" w:cstheme="majorHAnsi"/>
            <w:sz w:val="24"/>
            <w:szCs w:val="24"/>
          </w:rPr>
          <w:t>https://www.mayoclinic.org/diseases-conditions/dehydration/symptoms-causes/syc-20354086</w:t>
        </w:r>
      </w:hyperlink>
      <w:r w:rsidRPr="004455F6">
        <w:rPr>
          <w:rFonts w:asciiTheme="majorHAnsi" w:hAnsiTheme="majorHAnsi" w:cstheme="majorHAnsi"/>
          <w:sz w:val="24"/>
          <w:szCs w:val="24"/>
        </w:rPr>
        <w:t xml:space="preserve"> </w:t>
      </w:r>
    </w:p>
    <w:p w14:paraId="72DD0893"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Mayo Foundation for Medical Education and Research (2023). </w:t>
      </w:r>
      <w:r w:rsidRPr="004455F6">
        <w:rPr>
          <w:rFonts w:asciiTheme="majorHAnsi" w:hAnsiTheme="majorHAnsi" w:cstheme="majorHAnsi"/>
          <w:i/>
          <w:iCs/>
          <w:sz w:val="24"/>
          <w:szCs w:val="24"/>
        </w:rPr>
        <w:t>Creatinine test - Mayo Clinic</w:t>
      </w:r>
      <w:r w:rsidRPr="004455F6">
        <w:rPr>
          <w:rFonts w:asciiTheme="majorHAnsi" w:hAnsiTheme="majorHAnsi" w:cstheme="majorHAnsi"/>
          <w:sz w:val="24"/>
          <w:szCs w:val="24"/>
        </w:rPr>
        <w:t xml:space="preserve">. </w:t>
      </w:r>
      <w:hyperlink r:id="rId16" w:history="1">
        <w:r w:rsidRPr="004455F6">
          <w:rPr>
            <w:rStyle w:val="a5"/>
            <w:rFonts w:asciiTheme="majorHAnsi" w:hAnsiTheme="majorHAnsi" w:cstheme="majorHAnsi"/>
            <w:sz w:val="24"/>
            <w:szCs w:val="24"/>
          </w:rPr>
          <w:t>https://www.mayoclinic.org/tests-procedures/creatinine-test/about/pac-20384646</w:t>
        </w:r>
      </w:hyperlink>
    </w:p>
    <w:p w14:paraId="249EF620" w14:textId="77777777" w:rsidR="004200AF" w:rsidRDefault="004200AF" w:rsidP="004200AF">
      <w:pPr>
        <w:widowControl/>
        <w:spacing w:line="480" w:lineRule="auto"/>
        <w:ind w:left="480" w:hangingChars="200" w:hanging="480"/>
        <w:jc w:val="left"/>
        <w:rPr>
          <w:rFonts w:asciiTheme="majorHAnsi" w:hAnsiTheme="majorHAnsi" w:cstheme="majorHAnsi"/>
          <w:i/>
          <w:iCs/>
          <w:sz w:val="24"/>
          <w:szCs w:val="24"/>
        </w:rPr>
      </w:pPr>
      <w:r w:rsidRPr="00E91B7E">
        <w:rPr>
          <w:rFonts w:asciiTheme="majorHAnsi" w:hAnsiTheme="majorHAnsi" w:cstheme="majorHAnsi"/>
          <w:sz w:val="24"/>
          <w:szCs w:val="24"/>
        </w:rPr>
        <w:t>Morris B. A. (1995)</w:t>
      </w:r>
      <w:r w:rsidRPr="00E91B7E">
        <w:rPr>
          <w:rFonts w:asciiTheme="majorHAnsi" w:hAnsiTheme="majorHAnsi" w:cstheme="majorHAnsi"/>
          <w:i/>
          <w:iCs/>
          <w:sz w:val="24"/>
          <w:szCs w:val="24"/>
        </w:rPr>
        <w:t xml:space="preserve">. Nursing care for the prevention of deep vein thrombosis. </w:t>
      </w:r>
      <w:proofErr w:type="gramStart"/>
      <w:r w:rsidRPr="00E91B7E">
        <w:rPr>
          <w:rFonts w:asciiTheme="majorHAnsi" w:hAnsiTheme="majorHAnsi" w:cstheme="majorHAnsi"/>
          <w:i/>
          <w:iCs/>
          <w:sz w:val="24"/>
          <w:szCs w:val="24"/>
        </w:rPr>
        <w:t>Today's</w:t>
      </w:r>
      <w:proofErr w:type="gramEnd"/>
      <w:r w:rsidRPr="00E91B7E">
        <w:rPr>
          <w:rFonts w:asciiTheme="majorHAnsi" w:hAnsiTheme="majorHAnsi" w:cstheme="majorHAnsi"/>
          <w:i/>
          <w:iCs/>
          <w:sz w:val="24"/>
          <w:szCs w:val="24"/>
        </w:rPr>
        <w:t xml:space="preserve"> OR nurse, 17(5), 4–8.</w:t>
      </w:r>
    </w:p>
    <w:p w14:paraId="0154F3E2"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National Kidney Foundation (2018). </w:t>
      </w:r>
      <w:r w:rsidRPr="004455F6">
        <w:rPr>
          <w:rFonts w:asciiTheme="majorHAnsi" w:hAnsiTheme="majorHAnsi" w:cstheme="majorHAnsi"/>
          <w:i/>
          <w:iCs/>
          <w:sz w:val="24"/>
          <w:szCs w:val="24"/>
        </w:rPr>
        <w:t xml:space="preserve">Can Dehydration Affect Your </w:t>
      </w:r>
      <w:proofErr w:type="gramStart"/>
      <w:r w:rsidRPr="004455F6">
        <w:rPr>
          <w:rFonts w:asciiTheme="majorHAnsi" w:hAnsiTheme="majorHAnsi" w:cstheme="majorHAnsi"/>
          <w:i/>
          <w:iCs/>
          <w:sz w:val="24"/>
          <w:szCs w:val="24"/>
        </w:rPr>
        <w:t>Kidneys?.</w:t>
      </w:r>
      <w:proofErr w:type="gramEnd"/>
      <w:r w:rsidRPr="004455F6">
        <w:rPr>
          <w:rFonts w:asciiTheme="majorHAnsi" w:hAnsiTheme="majorHAnsi" w:cstheme="majorHAnsi"/>
          <w:sz w:val="24"/>
          <w:szCs w:val="24"/>
        </w:rPr>
        <w:t xml:space="preserve"> </w:t>
      </w:r>
      <w:hyperlink r:id="rId17" w:history="1">
        <w:r w:rsidRPr="004455F6">
          <w:rPr>
            <w:rStyle w:val="a5"/>
            <w:rFonts w:asciiTheme="majorHAnsi" w:hAnsiTheme="majorHAnsi" w:cstheme="majorHAnsi"/>
            <w:sz w:val="24"/>
            <w:szCs w:val="24"/>
          </w:rPr>
          <w:t>https://www.kidney.org/newsletter/can-dehydration-affect-your-kidneys</w:t>
        </w:r>
      </w:hyperlink>
    </w:p>
    <w:p w14:paraId="331CD8CE"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proofErr w:type="spellStart"/>
      <w:r w:rsidRPr="004455F6">
        <w:rPr>
          <w:rFonts w:asciiTheme="majorHAnsi" w:hAnsiTheme="majorHAnsi" w:cstheme="majorHAnsi"/>
          <w:sz w:val="24"/>
          <w:szCs w:val="24"/>
        </w:rPr>
        <w:t>Piirilä</w:t>
      </w:r>
      <w:proofErr w:type="spellEnd"/>
      <w:r w:rsidRPr="004455F6">
        <w:rPr>
          <w:rFonts w:asciiTheme="majorHAnsi" w:hAnsiTheme="majorHAnsi" w:cstheme="majorHAnsi"/>
          <w:sz w:val="24"/>
          <w:szCs w:val="24"/>
        </w:rPr>
        <w:t xml:space="preserve">, P., </w:t>
      </w:r>
      <w:proofErr w:type="spellStart"/>
      <w:r w:rsidRPr="004455F6">
        <w:rPr>
          <w:rFonts w:asciiTheme="majorHAnsi" w:hAnsiTheme="majorHAnsi" w:cstheme="majorHAnsi"/>
          <w:sz w:val="24"/>
          <w:szCs w:val="24"/>
        </w:rPr>
        <w:t>Sovijärvi</w:t>
      </w:r>
      <w:proofErr w:type="spellEnd"/>
      <w:r w:rsidRPr="004455F6">
        <w:rPr>
          <w:rFonts w:asciiTheme="majorHAnsi" w:hAnsiTheme="majorHAnsi" w:cstheme="majorHAnsi"/>
          <w:sz w:val="24"/>
          <w:szCs w:val="24"/>
        </w:rPr>
        <w:t xml:space="preserve">, A. R. A., Kaisla, T., Rajala, H.-M., &amp; Katila, T. (1991). Crackles in Patients with Fibrosing Alveolitis, Bronchiectasis, COPD, and Heart Failure. </w:t>
      </w:r>
      <w:r w:rsidRPr="004455F6">
        <w:rPr>
          <w:rFonts w:asciiTheme="majorHAnsi" w:hAnsiTheme="majorHAnsi" w:cstheme="majorHAnsi"/>
          <w:i/>
          <w:iCs/>
          <w:sz w:val="24"/>
          <w:szCs w:val="24"/>
        </w:rPr>
        <w:t>Chest</w:t>
      </w:r>
      <w:r w:rsidRPr="004455F6">
        <w:rPr>
          <w:rFonts w:asciiTheme="majorHAnsi" w:hAnsiTheme="majorHAnsi" w:cstheme="majorHAnsi"/>
          <w:sz w:val="24"/>
          <w:szCs w:val="24"/>
        </w:rPr>
        <w:t xml:space="preserve">, </w:t>
      </w:r>
      <w:r w:rsidRPr="004455F6">
        <w:rPr>
          <w:rFonts w:asciiTheme="majorHAnsi" w:hAnsiTheme="majorHAnsi" w:cstheme="majorHAnsi"/>
          <w:i/>
          <w:iCs/>
          <w:sz w:val="24"/>
          <w:szCs w:val="24"/>
        </w:rPr>
        <w:t>99</w:t>
      </w:r>
      <w:r w:rsidRPr="004455F6">
        <w:rPr>
          <w:rFonts w:asciiTheme="majorHAnsi" w:hAnsiTheme="majorHAnsi" w:cstheme="majorHAnsi"/>
          <w:sz w:val="24"/>
          <w:szCs w:val="24"/>
        </w:rPr>
        <w:t>(5), 1076–1083.</w:t>
      </w:r>
    </w:p>
    <w:p w14:paraId="74B6170C"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Salvador</w:t>
      </w:r>
      <w:r>
        <w:rPr>
          <w:rFonts w:asciiTheme="majorHAnsi" w:hAnsiTheme="majorHAnsi" w:cstheme="majorHAnsi"/>
          <w:sz w:val="24"/>
          <w:szCs w:val="24"/>
        </w:rPr>
        <w:t xml:space="preserve">, K. &amp; </w:t>
      </w:r>
      <w:r w:rsidRPr="0047359F">
        <w:rPr>
          <w:rFonts w:asciiTheme="majorHAnsi" w:hAnsiTheme="majorHAnsi" w:cstheme="majorHAnsi"/>
          <w:sz w:val="24"/>
          <w:szCs w:val="24"/>
        </w:rPr>
        <w:t>Wagner,</w:t>
      </w:r>
      <w:r>
        <w:rPr>
          <w:rFonts w:asciiTheme="majorHAnsi" w:hAnsiTheme="majorHAnsi" w:cstheme="majorHAnsi"/>
          <w:sz w:val="24"/>
          <w:szCs w:val="24"/>
        </w:rPr>
        <w:t xml:space="preserve"> M. (2023). </w:t>
      </w:r>
      <w:r w:rsidRPr="0047359F">
        <w:rPr>
          <w:rFonts w:asciiTheme="majorHAnsi" w:hAnsiTheme="majorHAnsi" w:cstheme="majorHAnsi"/>
          <w:i/>
          <w:iCs/>
          <w:sz w:val="24"/>
          <w:szCs w:val="24"/>
        </w:rPr>
        <w:t>Atrial Fibrillation: Nursing Diagnoses, Care Plans, Assessment &amp; Interventions</w:t>
      </w:r>
      <w:r>
        <w:rPr>
          <w:rFonts w:asciiTheme="majorHAnsi" w:hAnsiTheme="majorHAnsi" w:cstheme="majorHAnsi"/>
          <w:sz w:val="24"/>
          <w:szCs w:val="24"/>
        </w:rPr>
        <w:t xml:space="preserve">. </w:t>
      </w:r>
      <w:hyperlink r:id="rId18" w:history="1">
        <w:r w:rsidRPr="00877435">
          <w:rPr>
            <w:rStyle w:val="a5"/>
            <w:rFonts w:asciiTheme="majorHAnsi" w:hAnsiTheme="majorHAnsi" w:cstheme="majorHAnsi"/>
            <w:sz w:val="24"/>
            <w:szCs w:val="24"/>
          </w:rPr>
          <w:t>https://www.nursetogether.com/atrial-fibrillation-nursing-diagnosis-care-plan/</w:t>
        </w:r>
      </w:hyperlink>
      <w:r>
        <w:rPr>
          <w:rFonts w:asciiTheme="majorHAnsi" w:hAnsiTheme="majorHAnsi" w:cstheme="majorHAnsi"/>
          <w:sz w:val="24"/>
          <w:szCs w:val="24"/>
        </w:rPr>
        <w:t>.</w:t>
      </w:r>
    </w:p>
    <w:p w14:paraId="089F2641" w14:textId="77777777" w:rsidR="004200AF" w:rsidRPr="004455F6" w:rsidRDefault="004200AF" w:rsidP="004200AF">
      <w:pPr>
        <w:widowControl/>
        <w:spacing w:line="480" w:lineRule="auto"/>
        <w:ind w:left="480" w:hangingChars="200" w:hanging="480"/>
        <w:jc w:val="left"/>
        <w:rPr>
          <w:rFonts w:asciiTheme="majorHAnsi" w:hAnsiTheme="majorHAnsi" w:cstheme="majorHAnsi"/>
          <w:color w:val="222222"/>
          <w:sz w:val="24"/>
          <w:szCs w:val="24"/>
          <w:shd w:val="clear" w:color="auto" w:fill="FFFFFF"/>
        </w:rPr>
      </w:pPr>
      <w:r w:rsidRPr="004455F6">
        <w:rPr>
          <w:rFonts w:asciiTheme="majorHAnsi" w:hAnsiTheme="majorHAnsi" w:cstheme="majorHAnsi"/>
          <w:color w:val="222222"/>
          <w:sz w:val="24"/>
          <w:szCs w:val="24"/>
          <w:shd w:val="clear" w:color="auto" w:fill="FFFFFF"/>
        </w:rPr>
        <w:lastRenderedPageBreak/>
        <w:t xml:space="preserve">Sandilands, E. A., </w:t>
      </w:r>
      <w:proofErr w:type="spellStart"/>
      <w:r w:rsidRPr="004455F6">
        <w:rPr>
          <w:rFonts w:asciiTheme="majorHAnsi" w:hAnsiTheme="majorHAnsi" w:cstheme="majorHAnsi"/>
          <w:color w:val="222222"/>
          <w:sz w:val="24"/>
          <w:szCs w:val="24"/>
          <w:shd w:val="clear" w:color="auto" w:fill="FFFFFF"/>
        </w:rPr>
        <w:t>Dhaun</w:t>
      </w:r>
      <w:proofErr w:type="spellEnd"/>
      <w:r w:rsidRPr="004455F6">
        <w:rPr>
          <w:rFonts w:asciiTheme="majorHAnsi" w:hAnsiTheme="majorHAnsi" w:cstheme="majorHAnsi"/>
          <w:color w:val="222222"/>
          <w:sz w:val="24"/>
          <w:szCs w:val="24"/>
          <w:shd w:val="clear" w:color="auto" w:fill="FFFFFF"/>
        </w:rPr>
        <w:t>, N., Dear, J. W., &amp; Webb, D. J. (2013). Measurement of renal function in patients with chronic kidney disease. </w:t>
      </w:r>
      <w:r w:rsidRPr="004455F6">
        <w:rPr>
          <w:rFonts w:asciiTheme="majorHAnsi" w:hAnsiTheme="majorHAnsi" w:cstheme="majorHAnsi"/>
          <w:i/>
          <w:iCs/>
          <w:color w:val="222222"/>
          <w:sz w:val="24"/>
          <w:szCs w:val="24"/>
          <w:shd w:val="clear" w:color="auto" w:fill="FFFFFF"/>
        </w:rPr>
        <w:t>British journal of clinical pharmacology</w:t>
      </w:r>
      <w:r w:rsidRPr="004455F6">
        <w:rPr>
          <w:rFonts w:asciiTheme="majorHAnsi" w:hAnsiTheme="majorHAnsi" w:cstheme="majorHAnsi"/>
          <w:color w:val="222222"/>
          <w:sz w:val="24"/>
          <w:szCs w:val="24"/>
          <w:shd w:val="clear" w:color="auto" w:fill="FFFFFF"/>
        </w:rPr>
        <w:t>, </w:t>
      </w:r>
      <w:r w:rsidRPr="004455F6">
        <w:rPr>
          <w:rFonts w:asciiTheme="majorHAnsi" w:hAnsiTheme="majorHAnsi" w:cstheme="majorHAnsi"/>
          <w:i/>
          <w:iCs/>
          <w:color w:val="222222"/>
          <w:sz w:val="24"/>
          <w:szCs w:val="24"/>
          <w:shd w:val="clear" w:color="auto" w:fill="FFFFFF"/>
        </w:rPr>
        <w:t>76</w:t>
      </w:r>
      <w:r w:rsidRPr="004455F6">
        <w:rPr>
          <w:rFonts w:asciiTheme="majorHAnsi" w:hAnsiTheme="majorHAnsi" w:cstheme="majorHAnsi"/>
          <w:color w:val="222222"/>
          <w:sz w:val="24"/>
          <w:szCs w:val="24"/>
          <w:shd w:val="clear" w:color="auto" w:fill="FFFFFF"/>
        </w:rPr>
        <w:t>(4), 504-515.</w:t>
      </w:r>
    </w:p>
    <w:p w14:paraId="5C8B4349"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proofErr w:type="spellStart"/>
      <w:r w:rsidRPr="004455F6">
        <w:rPr>
          <w:rFonts w:asciiTheme="majorHAnsi" w:hAnsiTheme="majorHAnsi" w:cstheme="majorHAnsi"/>
          <w:sz w:val="24"/>
          <w:szCs w:val="24"/>
        </w:rPr>
        <w:t>Shebl</w:t>
      </w:r>
      <w:proofErr w:type="spellEnd"/>
      <w:r w:rsidRPr="004455F6">
        <w:rPr>
          <w:rFonts w:asciiTheme="majorHAnsi" w:hAnsiTheme="majorHAnsi" w:cstheme="majorHAnsi"/>
          <w:sz w:val="24"/>
          <w:szCs w:val="24"/>
        </w:rPr>
        <w:t xml:space="preserve">, E., &amp; Paul, M. (2018). </w:t>
      </w:r>
      <w:r w:rsidRPr="004455F6">
        <w:rPr>
          <w:rFonts w:asciiTheme="majorHAnsi" w:hAnsiTheme="majorHAnsi" w:cstheme="majorHAnsi"/>
          <w:i/>
          <w:iCs/>
          <w:sz w:val="24"/>
          <w:szCs w:val="24"/>
        </w:rPr>
        <w:t>Parapneumonic pleural effusions and empyema thoracis</w:t>
      </w:r>
      <w:r w:rsidRPr="004455F6">
        <w:rPr>
          <w:rFonts w:asciiTheme="majorHAnsi" w:hAnsiTheme="majorHAnsi" w:cstheme="majorHAnsi"/>
          <w:sz w:val="24"/>
          <w:szCs w:val="24"/>
        </w:rPr>
        <w:t>.</w:t>
      </w:r>
      <w:r>
        <w:rPr>
          <w:rFonts w:asciiTheme="majorHAnsi" w:hAnsiTheme="majorHAnsi" w:cstheme="majorHAnsi"/>
          <w:sz w:val="24"/>
          <w:szCs w:val="24"/>
        </w:rPr>
        <w:t xml:space="preserve"> </w:t>
      </w:r>
      <w:hyperlink r:id="rId19" w:history="1">
        <w:r w:rsidRPr="00877435">
          <w:rPr>
            <w:rStyle w:val="a5"/>
            <w:rFonts w:asciiTheme="majorHAnsi" w:hAnsiTheme="majorHAnsi" w:cstheme="majorHAnsi"/>
            <w:sz w:val="24"/>
            <w:szCs w:val="24"/>
          </w:rPr>
          <w:t>https://europepmc.org/article/nbk/nbk534297</w:t>
        </w:r>
      </w:hyperlink>
      <w:r>
        <w:rPr>
          <w:rFonts w:asciiTheme="majorHAnsi" w:hAnsiTheme="majorHAnsi" w:cstheme="majorHAnsi"/>
          <w:sz w:val="24"/>
          <w:szCs w:val="24"/>
        </w:rPr>
        <w:t xml:space="preserve"> </w:t>
      </w:r>
    </w:p>
    <w:p w14:paraId="65A11FC8" w14:textId="77777777" w:rsidR="004200AF" w:rsidRPr="004455F6" w:rsidRDefault="004200AF" w:rsidP="004200AF">
      <w:pPr>
        <w:widowControl/>
        <w:spacing w:line="480" w:lineRule="auto"/>
        <w:ind w:left="480" w:hangingChars="200" w:hanging="480"/>
        <w:jc w:val="left"/>
        <w:rPr>
          <w:rFonts w:asciiTheme="majorHAnsi" w:hAnsiTheme="majorHAnsi" w:cstheme="majorHAnsi"/>
          <w:color w:val="222222"/>
          <w:sz w:val="24"/>
          <w:szCs w:val="24"/>
          <w:shd w:val="clear" w:color="auto" w:fill="FFFFFF"/>
        </w:rPr>
      </w:pPr>
      <w:r w:rsidRPr="004455F6">
        <w:rPr>
          <w:rFonts w:asciiTheme="majorHAnsi" w:hAnsiTheme="majorHAnsi" w:cstheme="majorHAnsi"/>
          <w:color w:val="222222"/>
          <w:sz w:val="24"/>
          <w:szCs w:val="24"/>
          <w:shd w:val="clear" w:color="auto" w:fill="FFFFFF"/>
        </w:rPr>
        <w:t xml:space="preserve">Stearns-Kurosawa, D. J., </w:t>
      </w:r>
      <w:proofErr w:type="spellStart"/>
      <w:r w:rsidRPr="004455F6">
        <w:rPr>
          <w:rFonts w:asciiTheme="majorHAnsi" w:hAnsiTheme="majorHAnsi" w:cstheme="majorHAnsi"/>
          <w:color w:val="222222"/>
          <w:sz w:val="24"/>
          <w:szCs w:val="24"/>
          <w:shd w:val="clear" w:color="auto" w:fill="FFFFFF"/>
        </w:rPr>
        <w:t>Osuchowski</w:t>
      </w:r>
      <w:proofErr w:type="spellEnd"/>
      <w:r w:rsidRPr="004455F6">
        <w:rPr>
          <w:rFonts w:asciiTheme="majorHAnsi" w:hAnsiTheme="majorHAnsi" w:cstheme="majorHAnsi"/>
          <w:color w:val="222222"/>
          <w:sz w:val="24"/>
          <w:szCs w:val="24"/>
          <w:shd w:val="clear" w:color="auto" w:fill="FFFFFF"/>
        </w:rPr>
        <w:t>, M. F., Valentine, C., Kurosawa, S., &amp; Remick, D. G. (2011). The pathogenesis of sepsis. </w:t>
      </w:r>
      <w:r w:rsidRPr="004455F6">
        <w:rPr>
          <w:rFonts w:asciiTheme="majorHAnsi" w:hAnsiTheme="majorHAnsi" w:cstheme="majorHAnsi"/>
          <w:i/>
          <w:iCs/>
          <w:color w:val="222222"/>
          <w:sz w:val="24"/>
          <w:szCs w:val="24"/>
          <w:shd w:val="clear" w:color="auto" w:fill="FFFFFF"/>
        </w:rPr>
        <w:t>Annual review of pathology: mechanisms of disease</w:t>
      </w:r>
      <w:r w:rsidRPr="004455F6">
        <w:rPr>
          <w:rFonts w:asciiTheme="majorHAnsi" w:hAnsiTheme="majorHAnsi" w:cstheme="majorHAnsi"/>
          <w:color w:val="222222"/>
          <w:sz w:val="24"/>
          <w:szCs w:val="24"/>
          <w:shd w:val="clear" w:color="auto" w:fill="FFFFFF"/>
        </w:rPr>
        <w:t>, </w:t>
      </w:r>
      <w:r w:rsidRPr="004455F6">
        <w:rPr>
          <w:rFonts w:asciiTheme="majorHAnsi" w:hAnsiTheme="majorHAnsi" w:cstheme="majorHAnsi"/>
          <w:i/>
          <w:iCs/>
          <w:color w:val="222222"/>
          <w:sz w:val="24"/>
          <w:szCs w:val="24"/>
          <w:shd w:val="clear" w:color="auto" w:fill="FFFFFF"/>
        </w:rPr>
        <w:t>6</w:t>
      </w:r>
      <w:r w:rsidRPr="004455F6">
        <w:rPr>
          <w:rFonts w:asciiTheme="majorHAnsi" w:hAnsiTheme="majorHAnsi" w:cstheme="majorHAnsi"/>
          <w:color w:val="222222"/>
          <w:sz w:val="24"/>
          <w:szCs w:val="24"/>
          <w:shd w:val="clear" w:color="auto" w:fill="FFFFFF"/>
        </w:rPr>
        <w:t xml:space="preserve">, 19-48. </w:t>
      </w:r>
      <w:hyperlink r:id="rId20" w:history="1">
        <w:r w:rsidRPr="004455F6">
          <w:rPr>
            <w:rStyle w:val="a5"/>
            <w:rFonts w:asciiTheme="majorHAnsi" w:hAnsiTheme="majorHAnsi" w:cstheme="majorHAnsi"/>
            <w:sz w:val="24"/>
            <w:szCs w:val="24"/>
            <w:shd w:val="clear" w:color="auto" w:fill="FFFFFF"/>
          </w:rPr>
          <w:t>https://doi.org/10.1146/annurev-pathol-011110-130327</w:t>
        </w:r>
      </w:hyperlink>
      <w:r w:rsidRPr="004455F6">
        <w:rPr>
          <w:rFonts w:asciiTheme="majorHAnsi" w:hAnsiTheme="majorHAnsi" w:cstheme="majorHAnsi"/>
          <w:color w:val="222222"/>
          <w:sz w:val="24"/>
          <w:szCs w:val="24"/>
          <w:shd w:val="clear" w:color="auto" w:fill="FFFFFF"/>
        </w:rPr>
        <w:t xml:space="preserve"> </w:t>
      </w:r>
    </w:p>
    <w:p w14:paraId="714D3ACF" w14:textId="77777777" w:rsidR="004200AF" w:rsidRPr="004455F6" w:rsidRDefault="004200AF" w:rsidP="004200AF">
      <w:pPr>
        <w:widowControl/>
        <w:spacing w:line="480" w:lineRule="auto"/>
        <w:ind w:left="480" w:hangingChars="200" w:hanging="480"/>
        <w:jc w:val="left"/>
        <w:rPr>
          <w:rFonts w:asciiTheme="majorHAnsi" w:hAnsiTheme="majorHAnsi" w:cstheme="majorHAnsi"/>
          <w:color w:val="222222"/>
          <w:sz w:val="24"/>
          <w:szCs w:val="24"/>
          <w:shd w:val="clear" w:color="auto" w:fill="FFFFFF"/>
        </w:rPr>
      </w:pPr>
      <w:r w:rsidRPr="004455F6">
        <w:rPr>
          <w:rFonts w:asciiTheme="majorHAnsi" w:hAnsiTheme="majorHAnsi" w:cstheme="majorHAnsi"/>
          <w:color w:val="222222"/>
          <w:sz w:val="24"/>
          <w:szCs w:val="24"/>
          <w:shd w:val="clear" w:color="auto" w:fill="FFFFFF"/>
        </w:rPr>
        <w:t>Syal, K., Banerjee, D., &amp; Srinivasan, A. (2013). Creatinine estimation and interference. </w:t>
      </w:r>
      <w:r w:rsidRPr="004455F6">
        <w:rPr>
          <w:rFonts w:asciiTheme="majorHAnsi" w:hAnsiTheme="majorHAnsi" w:cstheme="majorHAnsi"/>
          <w:i/>
          <w:iCs/>
          <w:color w:val="222222"/>
          <w:sz w:val="24"/>
          <w:szCs w:val="24"/>
          <w:shd w:val="clear" w:color="auto" w:fill="FFFFFF"/>
        </w:rPr>
        <w:t>Indian Journal of Clinical Biochemistry</w:t>
      </w:r>
      <w:r w:rsidRPr="004455F6">
        <w:rPr>
          <w:rFonts w:asciiTheme="majorHAnsi" w:hAnsiTheme="majorHAnsi" w:cstheme="majorHAnsi"/>
          <w:color w:val="222222"/>
          <w:sz w:val="24"/>
          <w:szCs w:val="24"/>
          <w:shd w:val="clear" w:color="auto" w:fill="FFFFFF"/>
        </w:rPr>
        <w:t>, </w:t>
      </w:r>
      <w:r w:rsidRPr="004455F6">
        <w:rPr>
          <w:rFonts w:asciiTheme="majorHAnsi" w:hAnsiTheme="majorHAnsi" w:cstheme="majorHAnsi"/>
          <w:i/>
          <w:iCs/>
          <w:color w:val="222222"/>
          <w:sz w:val="24"/>
          <w:szCs w:val="24"/>
          <w:shd w:val="clear" w:color="auto" w:fill="FFFFFF"/>
        </w:rPr>
        <w:t>28</w:t>
      </w:r>
      <w:r w:rsidRPr="004455F6">
        <w:rPr>
          <w:rFonts w:asciiTheme="majorHAnsi" w:hAnsiTheme="majorHAnsi" w:cstheme="majorHAnsi"/>
          <w:color w:val="222222"/>
          <w:sz w:val="24"/>
          <w:szCs w:val="24"/>
          <w:shd w:val="clear" w:color="auto" w:fill="FFFFFF"/>
        </w:rPr>
        <w:t>, 210-211.</w:t>
      </w:r>
    </w:p>
    <w:p w14:paraId="3AD5FA68"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E91B7E">
        <w:rPr>
          <w:rFonts w:asciiTheme="majorHAnsi" w:hAnsiTheme="majorHAnsi" w:cstheme="majorHAnsi"/>
          <w:sz w:val="24"/>
          <w:szCs w:val="24"/>
        </w:rPr>
        <w:t>United States. Public Health Service. Office of the Surgeon General. (2010). </w:t>
      </w:r>
      <w:r w:rsidRPr="00E91B7E">
        <w:rPr>
          <w:rFonts w:asciiTheme="majorHAnsi" w:hAnsiTheme="majorHAnsi" w:cstheme="majorHAnsi"/>
          <w:i/>
          <w:iCs/>
          <w:sz w:val="24"/>
          <w:szCs w:val="24"/>
        </w:rPr>
        <w:t>How tobacco smoke causes disease: the biology and behavioral basis for smoking-attributable disease: a report of the Surgeon General</w:t>
      </w:r>
      <w:r w:rsidRPr="00E91B7E">
        <w:rPr>
          <w:rFonts w:asciiTheme="majorHAnsi" w:hAnsiTheme="majorHAnsi" w:cstheme="majorHAnsi"/>
          <w:sz w:val="24"/>
          <w:szCs w:val="24"/>
        </w:rPr>
        <w:t>. US Department of Health and Human Services, Public Health Service, Office of the Surgeon General.</w:t>
      </w:r>
    </w:p>
    <w:p w14:paraId="3DF42E24"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Wagner,</w:t>
      </w:r>
      <w:r>
        <w:rPr>
          <w:rFonts w:asciiTheme="majorHAnsi" w:hAnsiTheme="majorHAnsi" w:cstheme="majorHAnsi"/>
          <w:sz w:val="24"/>
          <w:szCs w:val="24"/>
        </w:rPr>
        <w:t xml:space="preserve"> M. (2022). </w:t>
      </w:r>
      <w:r w:rsidRPr="00E91B7E">
        <w:rPr>
          <w:rFonts w:asciiTheme="majorHAnsi" w:hAnsiTheme="majorHAnsi" w:cstheme="majorHAnsi"/>
          <w:i/>
          <w:iCs/>
          <w:sz w:val="24"/>
          <w:szCs w:val="24"/>
        </w:rPr>
        <w:t>Pneumonia Nursing Diagnosis &amp; Care Plan</w:t>
      </w:r>
      <w:r>
        <w:rPr>
          <w:rFonts w:asciiTheme="majorHAnsi" w:hAnsiTheme="majorHAnsi" w:cstheme="majorHAnsi"/>
          <w:sz w:val="24"/>
          <w:szCs w:val="24"/>
        </w:rPr>
        <w:t xml:space="preserve">. </w:t>
      </w:r>
      <w:hyperlink r:id="rId21" w:history="1">
        <w:r w:rsidRPr="00877435">
          <w:rPr>
            <w:rStyle w:val="a5"/>
            <w:rFonts w:asciiTheme="majorHAnsi" w:hAnsiTheme="majorHAnsi" w:cstheme="majorHAnsi"/>
            <w:sz w:val="24"/>
            <w:szCs w:val="24"/>
          </w:rPr>
          <w:t>https://www.nursetogether.com/pneumonia-nursing-diagnosis-care-plan/</w:t>
        </w:r>
      </w:hyperlink>
      <w:r>
        <w:rPr>
          <w:rFonts w:asciiTheme="majorHAnsi" w:hAnsiTheme="majorHAnsi" w:cstheme="majorHAnsi"/>
          <w:sz w:val="24"/>
          <w:szCs w:val="24"/>
        </w:rPr>
        <w:t>.</w:t>
      </w:r>
    </w:p>
    <w:p w14:paraId="5B9AE40F"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Wagner,</w:t>
      </w:r>
      <w:r>
        <w:rPr>
          <w:rFonts w:asciiTheme="majorHAnsi" w:hAnsiTheme="majorHAnsi" w:cstheme="majorHAnsi"/>
          <w:sz w:val="24"/>
          <w:szCs w:val="24"/>
        </w:rPr>
        <w:t xml:space="preserve"> M. (2023). </w:t>
      </w:r>
      <w:r w:rsidRPr="0047359F">
        <w:rPr>
          <w:rFonts w:asciiTheme="majorHAnsi" w:hAnsiTheme="majorHAnsi" w:cstheme="majorHAnsi"/>
          <w:i/>
          <w:iCs/>
          <w:sz w:val="24"/>
          <w:szCs w:val="24"/>
        </w:rPr>
        <w:t>Coronary Artery Disease: Nursing Diagnoses, Care Plans, Assessment &amp; Interventions</w:t>
      </w:r>
      <w:r>
        <w:rPr>
          <w:rFonts w:asciiTheme="majorHAnsi" w:hAnsiTheme="majorHAnsi" w:cstheme="majorHAnsi"/>
          <w:sz w:val="24"/>
          <w:szCs w:val="24"/>
        </w:rPr>
        <w:t xml:space="preserve">. </w:t>
      </w:r>
      <w:hyperlink r:id="rId22" w:history="1">
        <w:r w:rsidRPr="00877435">
          <w:rPr>
            <w:rStyle w:val="a5"/>
            <w:rFonts w:asciiTheme="majorHAnsi" w:hAnsiTheme="majorHAnsi" w:cstheme="majorHAnsi"/>
            <w:sz w:val="24"/>
            <w:szCs w:val="24"/>
          </w:rPr>
          <w:t>https://www.nursetogether.com/coronary-artery-disease-nursing-diagnosis-care-plan/</w:t>
        </w:r>
      </w:hyperlink>
      <w:r>
        <w:rPr>
          <w:rFonts w:asciiTheme="majorHAnsi" w:hAnsiTheme="majorHAnsi" w:cstheme="majorHAnsi"/>
          <w:sz w:val="24"/>
          <w:szCs w:val="24"/>
        </w:rPr>
        <w:t>.</w:t>
      </w:r>
    </w:p>
    <w:p w14:paraId="602BEA24"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lastRenderedPageBreak/>
        <w:t>Wagner,</w:t>
      </w:r>
      <w:r>
        <w:rPr>
          <w:rFonts w:asciiTheme="majorHAnsi" w:hAnsiTheme="majorHAnsi" w:cstheme="majorHAnsi"/>
          <w:sz w:val="24"/>
          <w:szCs w:val="24"/>
        </w:rPr>
        <w:t xml:space="preserve"> M. (2023). </w:t>
      </w:r>
      <w:r w:rsidRPr="0047359F">
        <w:rPr>
          <w:rFonts w:asciiTheme="majorHAnsi" w:hAnsiTheme="majorHAnsi" w:cstheme="majorHAnsi"/>
          <w:i/>
          <w:iCs/>
          <w:sz w:val="24"/>
          <w:szCs w:val="24"/>
        </w:rPr>
        <w:t>Hyperlipidemia: Nursing Diagnoses, Care Plans, Assessment &amp; Interventions</w:t>
      </w:r>
      <w:r>
        <w:rPr>
          <w:rFonts w:asciiTheme="majorHAnsi" w:hAnsiTheme="majorHAnsi" w:cstheme="majorHAnsi"/>
          <w:sz w:val="24"/>
          <w:szCs w:val="24"/>
        </w:rPr>
        <w:t xml:space="preserve">. </w:t>
      </w:r>
      <w:hyperlink r:id="rId23" w:history="1">
        <w:r w:rsidRPr="00877435">
          <w:rPr>
            <w:rStyle w:val="a5"/>
            <w:rFonts w:asciiTheme="majorHAnsi" w:hAnsiTheme="majorHAnsi" w:cstheme="majorHAnsi"/>
            <w:sz w:val="24"/>
            <w:szCs w:val="24"/>
          </w:rPr>
          <w:t>https://www.nursetogether.com/hyperlipidemia-nursing-diagnosis-care-plan/</w:t>
        </w:r>
      </w:hyperlink>
      <w:r>
        <w:rPr>
          <w:rFonts w:asciiTheme="majorHAnsi" w:hAnsiTheme="majorHAnsi" w:cstheme="majorHAnsi"/>
          <w:sz w:val="24"/>
          <w:szCs w:val="24"/>
        </w:rPr>
        <w:t>.</w:t>
      </w:r>
    </w:p>
    <w:p w14:paraId="0FC246FD"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9712E0">
        <w:rPr>
          <w:rFonts w:asciiTheme="majorHAnsi" w:hAnsiTheme="majorHAnsi" w:cstheme="majorHAnsi"/>
          <w:sz w:val="24"/>
          <w:szCs w:val="24"/>
        </w:rPr>
        <w:t xml:space="preserve">Widmaier, E. P., Raff, H., Strang, K. T., &amp; Vander, A. J. (2022). </w:t>
      </w:r>
      <w:r w:rsidRPr="009712E0">
        <w:rPr>
          <w:rFonts w:asciiTheme="majorHAnsi" w:hAnsiTheme="majorHAnsi" w:cstheme="majorHAnsi"/>
          <w:i/>
          <w:iCs/>
          <w:sz w:val="24"/>
          <w:szCs w:val="24"/>
        </w:rPr>
        <w:t xml:space="preserve">Vander’s human. </w:t>
      </w:r>
      <w:proofErr w:type="gramStart"/>
      <w:r w:rsidRPr="009712E0">
        <w:rPr>
          <w:rFonts w:asciiTheme="majorHAnsi" w:hAnsiTheme="majorHAnsi" w:cstheme="majorHAnsi"/>
          <w:i/>
          <w:iCs/>
          <w:sz w:val="24"/>
          <w:szCs w:val="24"/>
        </w:rPr>
        <w:t>physiology :</w:t>
      </w:r>
      <w:proofErr w:type="gramEnd"/>
      <w:r w:rsidRPr="009712E0">
        <w:rPr>
          <w:rFonts w:asciiTheme="majorHAnsi" w:hAnsiTheme="majorHAnsi" w:cstheme="majorHAnsi"/>
          <w:i/>
          <w:iCs/>
          <w:sz w:val="24"/>
          <w:szCs w:val="24"/>
        </w:rPr>
        <w:t xml:space="preserve"> the mechanisms of body function</w:t>
      </w:r>
      <w:r w:rsidRPr="009712E0">
        <w:rPr>
          <w:rFonts w:asciiTheme="majorHAnsi" w:hAnsiTheme="majorHAnsi" w:cstheme="majorHAnsi"/>
          <w:sz w:val="24"/>
          <w:szCs w:val="24"/>
        </w:rPr>
        <w:t>. McGraw Hill.</w:t>
      </w:r>
    </w:p>
    <w:p w14:paraId="2B2A1E92"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Zarbock, A., Gomez, H., &amp; Kellum, J. A. (2014). Sepsis-induced acute kidney injury revisited: pathophysiology, </w:t>
      </w:r>
      <w:proofErr w:type="gramStart"/>
      <w:r w:rsidRPr="004455F6">
        <w:rPr>
          <w:rFonts w:asciiTheme="majorHAnsi" w:hAnsiTheme="majorHAnsi" w:cstheme="majorHAnsi"/>
          <w:sz w:val="24"/>
          <w:szCs w:val="24"/>
        </w:rPr>
        <w:t>prevention</w:t>
      </w:r>
      <w:proofErr w:type="gramEnd"/>
      <w:r w:rsidRPr="004455F6">
        <w:rPr>
          <w:rFonts w:asciiTheme="majorHAnsi" w:hAnsiTheme="majorHAnsi" w:cstheme="majorHAnsi"/>
          <w:sz w:val="24"/>
          <w:szCs w:val="24"/>
        </w:rPr>
        <w:t xml:space="preserve"> and future therapies. </w:t>
      </w:r>
      <w:r w:rsidRPr="004455F6">
        <w:rPr>
          <w:rFonts w:asciiTheme="majorHAnsi" w:hAnsiTheme="majorHAnsi" w:cstheme="majorHAnsi"/>
          <w:i/>
          <w:iCs/>
          <w:sz w:val="24"/>
          <w:szCs w:val="24"/>
        </w:rPr>
        <w:t>Current opinion in critical care, 20</w:t>
      </w:r>
      <w:r w:rsidRPr="004455F6">
        <w:rPr>
          <w:rFonts w:asciiTheme="majorHAnsi" w:hAnsiTheme="majorHAnsi" w:cstheme="majorHAnsi"/>
          <w:sz w:val="24"/>
          <w:szCs w:val="24"/>
        </w:rPr>
        <w:t xml:space="preserve">(6), 588–595. </w:t>
      </w:r>
      <w:hyperlink r:id="rId24" w:history="1">
        <w:r w:rsidRPr="004455F6">
          <w:rPr>
            <w:rStyle w:val="a5"/>
            <w:rFonts w:asciiTheme="majorHAnsi" w:hAnsiTheme="majorHAnsi" w:cstheme="majorHAnsi"/>
            <w:sz w:val="24"/>
            <w:szCs w:val="24"/>
          </w:rPr>
          <w:t>https://doi.org/10.1097/MCC.0000000000000153</w:t>
        </w:r>
      </w:hyperlink>
    </w:p>
    <w:p w14:paraId="196A40D1" w14:textId="3E6A2600" w:rsidR="00E91B7E" w:rsidRPr="004200AF" w:rsidRDefault="00E91B7E" w:rsidP="00CC5896">
      <w:pPr>
        <w:widowControl/>
        <w:spacing w:line="480" w:lineRule="auto"/>
        <w:jc w:val="left"/>
        <w:rPr>
          <w:rFonts w:asciiTheme="majorHAnsi" w:hAnsiTheme="majorHAnsi" w:cstheme="majorHAnsi"/>
          <w:sz w:val="24"/>
          <w:szCs w:val="24"/>
        </w:rPr>
      </w:pPr>
    </w:p>
    <w:sectPr w:rsidR="00E91B7E" w:rsidRPr="004200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22A38" w14:textId="77777777" w:rsidR="001F676C" w:rsidRDefault="001F676C" w:rsidP="00EA5CA0">
      <w:r>
        <w:separator/>
      </w:r>
    </w:p>
  </w:endnote>
  <w:endnote w:type="continuationSeparator" w:id="0">
    <w:p w14:paraId="1DC1727A" w14:textId="77777777" w:rsidR="001F676C" w:rsidRDefault="001F676C" w:rsidP="00EA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3B5A6" w14:textId="77777777" w:rsidR="001F676C" w:rsidRDefault="001F676C" w:rsidP="00EA5CA0">
      <w:r>
        <w:separator/>
      </w:r>
    </w:p>
  </w:footnote>
  <w:footnote w:type="continuationSeparator" w:id="0">
    <w:p w14:paraId="456E4F97" w14:textId="77777777" w:rsidR="001F676C" w:rsidRDefault="001F676C" w:rsidP="00EA5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5658F"/>
    <w:multiLevelType w:val="hybridMultilevel"/>
    <w:tmpl w:val="036C94DE"/>
    <w:lvl w:ilvl="0" w:tplc="055036AE">
      <w:start w:val="1"/>
      <w:numFmt w:val="bullet"/>
      <w:lvlText w:val=""/>
      <w:lvlJc w:val="left"/>
      <w:pPr>
        <w:ind w:left="720" w:hanging="720"/>
      </w:pPr>
      <w:rPr>
        <w:rFonts w:ascii="Wingdings" w:eastAsiaTheme="minorEastAsia" w:hAnsi="Wingdings" w:cs="Times New Roman"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A66246D"/>
    <w:multiLevelType w:val="hybridMultilevel"/>
    <w:tmpl w:val="60BA3730"/>
    <w:lvl w:ilvl="0" w:tplc="D89459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3F23EAB"/>
    <w:multiLevelType w:val="hybridMultilevel"/>
    <w:tmpl w:val="356CC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466219">
    <w:abstractNumId w:val="1"/>
  </w:num>
  <w:num w:numId="2" w16cid:durableId="663431623">
    <w:abstractNumId w:val="0"/>
  </w:num>
  <w:num w:numId="3" w16cid:durableId="548030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8F"/>
    <w:rsid w:val="00070C48"/>
    <w:rsid w:val="001F676C"/>
    <w:rsid w:val="00265979"/>
    <w:rsid w:val="00332781"/>
    <w:rsid w:val="0036286C"/>
    <w:rsid w:val="003C388B"/>
    <w:rsid w:val="003E7D6D"/>
    <w:rsid w:val="004200AF"/>
    <w:rsid w:val="004455F6"/>
    <w:rsid w:val="004546AE"/>
    <w:rsid w:val="0047359F"/>
    <w:rsid w:val="005434C9"/>
    <w:rsid w:val="00553DF7"/>
    <w:rsid w:val="005711ED"/>
    <w:rsid w:val="005D6889"/>
    <w:rsid w:val="00743060"/>
    <w:rsid w:val="007B1726"/>
    <w:rsid w:val="007C4348"/>
    <w:rsid w:val="0083268F"/>
    <w:rsid w:val="008E713C"/>
    <w:rsid w:val="008F117B"/>
    <w:rsid w:val="009311BE"/>
    <w:rsid w:val="009712E0"/>
    <w:rsid w:val="00A07CF5"/>
    <w:rsid w:val="00AA37DE"/>
    <w:rsid w:val="00BD7EB8"/>
    <w:rsid w:val="00C43852"/>
    <w:rsid w:val="00C611AB"/>
    <w:rsid w:val="00CC05D3"/>
    <w:rsid w:val="00CC5896"/>
    <w:rsid w:val="00CE5AEF"/>
    <w:rsid w:val="00D01E88"/>
    <w:rsid w:val="00D0687D"/>
    <w:rsid w:val="00D20CE5"/>
    <w:rsid w:val="00DD4DD9"/>
    <w:rsid w:val="00E51D77"/>
    <w:rsid w:val="00E827DF"/>
    <w:rsid w:val="00E91B7E"/>
    <w:rsid w:val="00E93324"/>
    <w:rsid w:val="00EA5CA0"/>
    <w:rsid w:val="00FA4EBB"/>
    <w:rsid w:val="00FC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8C6C6"/>
  <w15:chartTrackingRefBased/>
  <w15:docId w15:val="{C219CF64-8B5C-475A-938D-27086CB2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171717" w:themeColor="background2" w:themeShade="1A"/>
        <w:kern w:val="2"/>
        <w:sz w:val="28"/>
        <w:szCs w:val="28"/>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0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2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93324"/>
    <w:pPr>
      <w:ind w:firstLineChars="200" w:firstLine="420"/>
    </w:pPr>
  </w:style>
  <w:style w:type="character" w:styleId="a5">
    <w:name w:val="Hyperlink"/>
    <w:basedOn w:val="a0"/>
    <w:uiPriority w:val="99"/>
    <w:unhideWhenUsed/>
    <w:rsid w:val="0036286C"/>
    <w:rPr>
      <w:color w:val="0563C1" w:themeColor="hyperlink"/>
      <w:u w:val="single"/>
    </w:rPr>
  </w:style>
  <w:style w:type="character" w:styleId="a6">
    <w:name w:val="Unresolved Mention"/>
    <w:basedOn w:val="a0"/>
    <w:uiPriority w:val="99"/>
    <w:semiHidden/>
    <w:unhideWhenUsed/>
    <w:rsid w:val="0036286C"/>
    <w:rPr>
      <w:color w:val="605E5C"/>
      <w:shd w:val="clear" w:color="auto" w:fill="E1DFDD"/>
    </w:rPr>
  </w:style>
  <w:style w:type="character" w:styleId="a7">
    <w:name w:val="FollowedHyperlink"/>
    <w:basedOn w:val="a0"/>
    <w:uiPriority w:val="99"/>
    <w:semiHidden/>
    <w:unhideWhenUsed/>
    <w:rsid w:val="00553DF7"/>
    <w:rPr>
      <w:color w:val="954F72" w:themeColor="followedHyperlink"/>
      <w:u w:val="single"/>
    </w:rPr>
  </w:style>
  <w:style w:type="paragraph" w:styleId="a8">
    <w:name w:val="header"/>
    <w:basedOn w:val="a"/>
    <w:link w:val="a9"/>
    <w:uiPriority w:val="99"/>
    <w:unhideWhenUsed/>
    <w:rsid w:val="00EA5CA0"/>
    <w:pPr>
      <w:tabs>
        <w:tab w:val="center" w:pos="4153"/>
        <w:tab w:val="right" w:pos="8306"/>
      </w:tabs>
      <w:snapToGrid w:val="0"/>
    </w:pPr>
  </w:style>
  <w:style w:type="character" w:customStyle="1" w:styleId="a9">
    <w:name w:val="页眉 字符"/>
    <w:basedOn w:val="a0"/>
    <w:link w:val="a8"/>
    <w:uiPriority w:val="99"/>
    <w:rsid w:val="00EA5CA0"/>
  </w:style>
  <w:style w:type="paragraph" w:styleId="aa">
    <w:name w:val="footer"/>
    <w:basedOn w:val="a"/>
    <w:link w:val="ab"/>
    <w:uiPriority w:val="99"/>
    <w:unhideWhenUsed/>
    <w:rsid w:val="00EA5CA0"/>
    <w:pPr>
      <w:tabs>
        <w:tab w:val="center" w:pos="4153"/>
        <w:tab w:val="right" w:pos="8306"/>
      </w:tabs>
      <w:snapToGrid w:val="0"/>
    </w:pPr>
  </w:style>
  <w:style w:type="character" w:customStyle="1" w:styleId="ab">
    <w:name w:val="页脚 字符"/>
    <w:basedOn w:val="a0"/>
    <w:link w:val="aa"/>
    <w:uiPriority w:val="99"/>
    <w:rsid w:val="00EA5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9836">
      <w:bodyDiv w:val="1"/>
      <w:marLeft w:val="0"/>
      <w:marRight w:val="0"/>
      <w:marTop w:val="0"/>
      <w:marBottom w:val="0"/>
      <w:divBdr>
        <w:top w:val="none" w:sz="0" w:space="0" w:color="auto"/>
        <w:left w:val="none" w:sz="0" w:space="0" w:color="auto"/>
        <w:bottom w:val="none" w:sz="0" w:space="0" w:color="auto"/>
        <w:right w:val="none" w:sz="0" w:space="0" w:color="auto"/>
      </w:divBdr>
    </w:div>
    <w:div w:id="74208232">
      <w:bodyDiv w:val="1"/>
      <w:marLeft w:val="0"/>
      <w:marRight w:val="0"/>
      <w:marTop w:val="0"/>
      <w:marBottom w:val="0"/>
      <w:divBdr>
        <w:top w:val="none" w:sz="0" w:space="0" w:color="auto"/>
        <w:left w:val="none" w:sz="0" w:space="0" w:color="auto"/>
        <w:bottom w:val="none" w:sz="0" w:space="0" w:color="auto"/>
        <w:right w:val="none" w:sz="0" w:space="0" w:color="auto"/>
      </w:divBdr>
    </w:div>
    <w:div w:id="137577572">
      <w:bodyDiv w:val="1"/>
      <w:marLeft w:val="0"/>
      <w:marRight w:val="0"/>
      <w:marTop w:val="0"/>
      <w:marBottom w:val="0"/>
      <w:divBdr>
        <w:top w:val="none" w:sz="0" w:space="0" w:color="auto"/>
        <w:left w:val="none" w:sz="0" w:space="0" w:color="auto"/>
        <w:bottom w:val="none" w:sz="0" w:space="0" w:color="auto"/>
        <w:right w:val="none" w:sz="0" w:space="0" w:color="auto"/>
      </w:divBdr>
    </w:div>
    <w:div w:id="226958643">
      <w:bodyDiv w:val="1"/>
      <w:marLeft w:val="0"/>
      <w:marRight w:val="0"/>
      <w:marTop w:val="0"/>
      <w:marBottom w:val="0"/>
      <w:divBdr>
        <w:top w:val="none" w:sz="0" w:space="0" w:color="auto"/>
        <w:left w:val="none" w:sz="0" w:space="0" w:color="auto"/>
        <w:bottom w:val="none" w:sz="0" w:space="0" w:color="auto"/>
        <w:right w:val="none" w:sz="0" w:space="0" w:color="auto"/>
      </w:divBdr>
    </w:div>
    <w:div w:id="261843376">
      <w:bodyDiv w:val="1"/>
      <w:marLeft w:val="0"/>
      <w:marRight w:val="0"/>
      <w:marTop w:val="0"/>
      <w:marBottom w:val="0"/>
      <w:divBdr>
        <w:top w:val="none" w:sz="0" w:space="0" w:color="auto"/>
        <w:left w:val="none" w:sz="0" w:space="0" w:color="auto"/>
        <w:bottom w:val="none" w:sz="0" w:space="0" w:color="auto"/>
        <w:right w:val="none" w:sz="0" w:space="0" w:color="auto"/>
      </w:divBdr>
    </w:div>
    <w:div w:id="277177322">
      <w:bodyDiv w:val="1"/>
      <w:marLeft w:val="0"/>
      <w:marRight w:val="0"/>
      <w:marTop w:val="0"/>
      <w:marBottom w:val="0"/>
      <w:divBdr>
        <w:top w:val="none" w:sz="0" w:space="0" w:color="auto"/>
        <w:left w:val="none" w:sz="0" w:space="0" w:color="auto"/>
        <w:bottom w:val="none" w:sz="0" w:space="0" w:color="auto"/>
        <w:right w:val="none" w:sz="0" w:space="0" w:color="auto"/>
      </w:divBdr>
    </w:div>
    <w:div w:id="332225073">
      <w:bodyDiv w:val="1"/>
      <w:marLeft w:val="0"/>
      <w:marRight w:val="0"/>
      <w:marTop w:val="0"/>
      <w:marBottom w:val="0"/>
      <w:divBdr>
        <w:top w:val="none" w:sz="0" w:space="0" w:color="auto"/>
        <w:left w:val="none" w:sz="0" w:space="0" w:color="auto"/>
        <w:bottom w:val="none" w:sz="0" w:space="0" w:color="auto"/>
        <w:right w:val="none" w:sz="0" w:space="0" w:color="auto"/>
      </w:divBdr>
    </w:div>
    <w:div w:id="546069537">
      <w:bodyDiv w:val="1"/>
      <w:marLeft w:val="0"/>
      <w:marRight w:val="0"/>
      <w:marTop w:val="0"/>
      <w:marBottom w:val="0"/>
      <w:divBdr>
        <w:top w:val="none" w:sz="0" w:space="0" w:color="auto"/>
        <w:left w:val="none" w:sz="0" w:space="0" w:color="auto"/>
        <w:bottom w:val="none" w:sz="0" w:space="0" w:color="auto"/>
        <w:right w:val="none" w:sz="0" w:space="0" w:color="auto"/>
      </w:divBdr>
    </w:div>
    <w:div w:id="579601310">
      <w:bodyDiv w:val="1"/>
      <w:marLeft w:val="0"/>
      <w:marRight w:val="0"/>
      <w:marTop w:val="0"/>
      <w:marBottom w:val="0"/>
      <w:divBdr>
        <w:top w:val="none" w:sz="0" w:space="0" w:color="auto"/>
        <w:left w:val="none" w:sz="0" w:space="0" w:color="auto"/>
        <w:bottom w:val="none" w:sz="0" w:space="0" w:color="auto"/>
        <w:right w:val="none" w:sz="0" w:space="0" w:color="auto"/>
      </w:divBdr>
    </w:div>
    <w:div w:id="726224779">
      <w:bodyDiv w:val="1"/>
      <w:marLeft w:val="0"/>
      <w:marRight w:val="0"/>
      <w:marTop w:val="0"/>
      <w:marBottom w:val="0"/>
      <w:divBdr>
        <w:top w:val="none" w:sz="0" w:space="0" w:color="auto"/>
        <w:left w:val="none" w:sz="0" w:space="0" w:color="auto"/>
        <w:bottom w:val="none" w:sz="0" w:space="0" w:color="auto"/>
        <w:right w:val="none" w:sz="0" w:space="0" w:color="auto"/>
      </w:divBdr>
    </w:div>
    <w:div w:id="851917306">
      <w:bodyDiv w:val="1"/>
      <w:marLeft w:val="0"/>
      <w:marRight w:val="0"/>
      <w:marTop w:val="0"/>
      <w:marBottom w:val="0"/>
      <w:divBdr>
        <w:top w:val="none" w:sz="0" w:space="0" w:color="auto"/>
        <w:left w:val="none" w:sz="0" w:space="0" w:color="auto"/>
        <w:bottom w:val="none" w:sz="0" w:space="0" w:color="auto"/>
        <w:right w:val="none" w:sz="0" w:space="0" w:color="auto"/>
      </w:divBdr>
    </w:div>
    <w:div w:id="924999406">
      <w:bodyDiv w:val="1"/>
      <w:marLeft w:val="0"/>
      <w:marRight w:val="0"/>
      <w:marTop w:val="0"/>
      <w:marBottom w:val="0"/>
      <w:divBdr>
        <w:top w:val="none" w:sz="0" w:space="0" w:color="auto"/>
        <w:left w:val="none" w:sz="0" w:space="0" w:color="auto"/>
        <w:bottom w:val="none" w:sz="0" w:space="0" w:color="auto"/>
        <w:right w:val="none" w:sz="0" w:space="0" w:color="auto"/>
      </w:divBdr>
    </w:div>
    <w:div w:id="1025516566">
      <w:bodyDiv w:val="1"/>
      <w:marLeft w:val="0"/>
      <w:marRight w:val="0"/>
      <w:marTop w:val="0"/>
      <w:marBottom w:val="0"/>
      <w:divBdr>
        <w:top w:val="none" w:sz="0" w:space="0" w:color="auto"/>
        <w:left w:val="none" w:sz="0" w:space="0" w:color="auto"/>
        <w:bottom w:val="none" w:sz="0" w:space="0" w:color="auto"/>
        <w:right w:val="none" w:sz="0" w:space="0" w:color="auto"/>
      </w:divBdr>
    </w:div>
    <w:div w:id="1357656910">
      <w:bodyDiv w:val="1"/>
      <w:marLeft w:val="0"/>
      <w:marRight w:val="0"/>
      <w:marTop w:val="0"/>
      <w:marBottom w:val="0"/>
      <w:divBdr>
        <w:top w:val="none" w:sz="0" w:space="0" w:color="auto"/>
        <w:left w:val="none" w:sz="0" w:space="0" w:color="auto"/>
        <w:bottom w:val="none" w:sz="0" w:space="0" w:color="auto"/>
        <w:right w:val="none" w:sz="0" w:space="0" w:color="auto"/>
      </w:divBdr>
    </w:div>
    <w:div w:id="1480612111">
      <w:bodyDiv w:val="1"/>
      <w:marLeft w:val="0"/>
      <w:marRight w:val="0"/>
      <w:marTop w:val="0"/>
      <w:marBottom w:val="0"/>
      <w:divBdr>
        <w:top w:val="none" w:sz="0" w:space="0" w:color="auto"/>
        <w:left w:val="none" w:sz="0" w:space="0" w:color="auto"/>
        <w:bottom w:val="none" w:sz="0" w:space="0" w:color="auto"/>
        <w:right w:val="none" w:sz="0" w:space="0" w:color="auto"/>
      </w:divBdr>
    </w:div>
    <w:div w:id="1593002928">
      <w:bodyDiv w:val="1"/>
      <w:marLeft w:val="0"/>
      <w:marRight w:val="0"/>
      <w:marTop w:val="0"/>
      <w:marBottom w:val="0"/>
      <w:divBdr>
        <w:top w:val="none" w:sz="0" w:space="0" w:color="auto"/>
        <w:left w:val="none" w:sz="0" w:space="0" w:color="auto"/>
        <w:bottom w:val="none" w:sz="0" w:space="0" w:color="auto"/>
        <w:right w:val="none" w:sz="0" w:space="0" w:color="auto"/>
      </w:divBdr>
    </w:div>
    <w:div w:id="1636256838">
      <w:bodyDiv w:val="1"/>
      <w:marLeft w:val="0"/>
      <w:marRight w:val="0"/>
      <w:marTop w:val="0"/>
      <w:marBottom w:val="0"/>
      <w:divBdr>
        <w:top w:val="none" w:sz="0" w:space="0" w:color="auto"/>
        <w:left w:val="none" w:sz="0" w:space="0" w:color="auto"/>
        <w:bottom w:val="none" w:sz="0" w:space="0" w:color="auto"/>
        <w:right w:val="none" w:sz="0" w:space="0" w:color="auto"/>
      </w:divBdr>
    </w:div>
    <w:div w:id="1730497520">
      <w:bodyDiv w:val="1"/>
      <w:marLeft w:val="0"/>
      <w:marRight w:val="0"/>
      <w:marTop w:val="0"/>
      <w:marBottom w:val="0"/>
      <w:divBdr>
        <w:top w:val="none" w:sz="0" w:space="0" w:color="auto"/>
        <w:left w:val="none" w:sz="0" w:space="0" w:color="auto"/>
        <w:bottom w:val="none" w:sz="0" w:space="0" w:color="auto"/>
        <w:right w:val="none" w:sz="0" w:space="0" w:color="auto"/>
      </w:divBdr>
    </w:div>
    <w:div w:id="1733888884">
      <w:bodyDiv w:val="1"/>
      <w:marLeft w:val="0"/>
      <w:marRight w:val="0"/>
      <w:marTop w:val="0"/>
      <w:marBottom w:val="0"/>
      <w:divBdr>
        <w:top w:val="none" w:sz="0" w:space="0" w:color="auto"/>
        <w:left w:val="none" w:sz="0" w:space="0" w:color="auto"/>
        <w:bottom w:val="none" w:sz="0" w:space="0" w:color="auto"/>
        <w:right w:val="none" w:sz="0" w:space="0" w:color="auto"/>
      </w:divBdr>
    </w:div>
    <w:div w:id="1739552196">
      <w:bodyDiv w:val="1"/>
      <w:marLeft w:val="0"/>
      <w:marRight w:val="0"/>
      <w:marTop w:val="0"/>
      <w:marBottom w:val="0"/>
      <w:divBdr>
        <w:top w:val="none" w:sz="0" w:space="0" w:color="auto"/>
        <w:left w:val="none" w:sz="0" w:space="0" w:color="auto"/>
        <w:bottom w:val="none" w:sz="0" w:space="0" w:color="auto"/>
        <w:right w:val="none" w:sz="0" w:space="0" w:color="auto"/>
      </w:divBdr>
    </w:div>
    <w:div w:id="1775324014">
      <w:bodyDiv w:val="1"/>
      <w:marLeft w:val="0"/>
      <w:marRight w:val="0"/>
      <w:marTop w:val="0"/>
      <w:marBottom w:val="0"/>
      <w:divBdr>
        <w:top w:val="none" w:sz="0" w:space="0" w:color="auto"/>
        <w:left w:val="none" w:sz="0" w:space="0" w:color="auto"/>
        <w:bottom w:val="none" w:sz="0" w:space="0" w:color="auto"/>
        <w:right w:val="none" w:sz="0" w:space="0" w:color="auto"/>
      </w:divBdr>
    </w:div>
    <w:div w:id="182793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rsetogether.com/constipation-nursing-diagnosis-care-plan/" TargetMode="External"/><Relationship Id="rId13" Type="http://schemas.openxmlformats.org/officeDocument/2006/relationships/hyperlink" Target="https://www.nursetogether.com/ineffective-health-maintenance-nursing-diagnosis-care-plan/" TargetMode="External"/><Relationship Id="rId18" Type="http://schemas.openxmlformats.org/officeDocument/2006/relationships/hyperlink" Target="https://www.nursetogether.com/atrial-fibrillation-nursing-diagnosis-care-pla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ursetogether.com/pneumonia-nursing-diagnosis-care-plan/" TargetMode="External"/><Relationship Id="rId7" Type="http://schemas.openxmlformats.org/officeDocument/2006/relationships/hyperlink" Target="https://www.nursetogether.com/risk-for-bleeding-nursing-diagnosis-care-plan/" TargetMode="External"/><Relationship Id="rId12" Type="http://schemas.openxmlformats.org/officeDocument/2006/relationships/hyperlink" Target="https://doi.org/10.1053/euhj.1999.1781" TargetMode="External"/><Relationship Id="rId17" Type="http://schemas.openxmlformats.org/officeDocument/2006/relationships/hyperlink" Target="https://www.kidney.org/newsletter/can-dehydration-affect-your-kidney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yoclinic.org/tests-procedures/creatinine-test/about/pac-20384646" TargetMode="External"/><Relationship Id="rId20" Type="http://schemas.openxmlformats.org/officeDocument/2006/relationships/hyperlink" Target="https://doi.org/10.1146/annurev-pathol-011110-1303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eurheartj/ehw210" TargetMode="External"/><Relationship Id="rId24" Type="http://schemas.openxmlformats.org/officeDocument/2006/relationships/hyperlink" Target="https://doi.org/10.1097/MCC.0000000000000153" TargetMode="External"/><Relationship Id="rId5" Type="http://schemas.openxmlformats.org/officeDocument/2006/relationships/footnotes" Target="footnotes.xml"/><Relationship Id="rId15" Type="http://schemas.openxmlformats.org/officeDocument/2006/relationships/hyperlink" Target="https://www.mayoclinic.org/diseases-conditions/dehydration/symptoms-causes/syc-20354086" TargetMode="External"/><Relationship Id="rId23" Type="http://schemas.openxmlformats.org/officeDocument/2006/relationships/hyperlink" Target="https://www.nursetogether.com/hyperlipidemia-nursing-diagnosis-care-plan/" TargetMode="External"/><Relationship Id="rId10" Type="http://schemas.openxmlformats.org/officeDocument/2006/relationships/hyperlink" Target="https://www.nursetogether.com/fluid-volume-deficit-nursing-diagnosis-care-plan/" TargetMode="External"/><Relationship Id="rId19" Type="http://schemas.openxmlformats.org/officeDocument/2006/relationships/hyperlink" Target="https://europepmc.org/article/nbk/nbk534297" TargetMode="External"/><Relationship Id="rId4" Type="http://schemas.openxmlformats.org/officeDocument/2006/relationships/webSettings" Target="webSettings.xml"/><Relationship Id="rId9" Type="http://schemas.openxmlformats.org/officeDocument/2006/relationships/hyperlink" Target="https://www.nursetogether.com/fatigue-nursing-diagnosis-care-plan/" TargetMode="External"/><Relationship Id="rId14" Type="http://schemas.openxmlformats.org/officeDocument/2006/relationships/hyperlink" Target="https://www.nursetogether.com/ineffective-tissue-perfusion-nursing-diagnosis-care-plan/" TargetMode="External"/><Relationship Id="rId22" Type="http://schemas.openxmlformats.org/officeDocument/2006/relationships/hyperlink" Target="https://www.nursetogether.com/coronary-artery-disease-nursing-diagnosis-care-pl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4">
      <a:majorFont>
        <a:latin typeface="Times New Roman"/>
        <a:ea typeface="等线 Light"/>
        <a:cs typeface=""/>
      </a:majorFont>
      <a:minorFont>
        <a:latin typeface="Times New Roman"/>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1970</Words>
  <Characters>11229</Characters>
  <Application>Microsoft Office Word</Application>
  <DocSecurity>0</DocSecurity>
  <Lines>93</Lines>
  <Paragraphs>26</Paragraphs>
  <ScaleCrop>false</ScaleCrop>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Yin Wong</dc:creator>
  <cp:keywords/>
  <dc:description/>
  <cp:lastModifiedBy>Kenny Wong</cp:lastModifiedBy>
  <cp:revision>2</cp:revision>
  <dcterms:created xsi:type="dcterms:W3CDTF">2023-12-05T13:39:00Z</dcterms:created>
  <dcterms:modified xsi:type="dcterms:W3CDTF">2023-12-05T13:39:00Z</dcterms:modified>
</cp:coreProperties>
</file>