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Sensor Token 注意力与稀疏CNN</w:t>
        <w:br/>
        <w:t>26类按压位置及三维力回归对比报告</w:t>
      </w:r>
    </w:p>
    <w:p>
      <w:r>
        <w:t>输入：九个光栅，每个光栅一个五维Token；共享注意力特征提取器，26类互斥位置分类头与Fx/Fy/Fz回归头。</w:t>
      </w:r>
    </w:p>
    <w:p>
      <w:r>
        <w:t>报告全部数值来自本次实际训练输出；原始JSONL、删除备份和旧25类CNN模型均未改写。训练过程中未使用旧模型权重或测试集选择最优种子。</w:t>
      </w:r>
    </w:p>
    <w:p>
      <w:pPr>
        <w:pStyle w:val="Heading1"/>
      </w:pPr>
      <w:r>
        <w:t>1. 结果摘要</w:t>
      </w:r>
    </w:p>
    <w:p>
      <w:r>
        <w:t>三个固定种子的测试集平均位置准确率：Sensor Token 62.66%，稀疏CNN 61.79%；注意力相对CNN差值为+0.87个百分点。三维向量平均误差：注意力1.511 N，CNN 1.534 N（越小越好）。这是同一开发划分的实测结果，不能概括为架构在所有数据上更优。</w:t>
      </w:r>
    </w:p>
    <w:p>
      <w:r>
        <w:t>重要限制：空载只来自10-08、按压只来自09-27；会话和接触状态完全混淆。多数位置只有一次连续按压段。本次未实现覆盖26类的独立会话测试，deployment_ready=false。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</w:trPr>
        <w:tc>
          <w:tcPr>
            <w:tcW w:type="dxa" w:w="3362"/>
          </w:tcPr>
          <w:p>
            <w:r>
              <w:rPr>
                <w:sz w:val="16"/>
              </w:rPr>
              <w:t>测试指标：均值 ± 种子标准差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Sensor Token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26类稀疏CNN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位置准确率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62.66 ± 1.14 %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61.79 ± 2.43 %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26类宏平均F1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0.58 ± 0.01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0.59 ± 0.03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平衡准确率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62.78 ± 1.08 %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62.35 ± 2.45 %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仅1～25号准确率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61.14 ± 1.18 %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60.24 ± 2.52 %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0号空载召回率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 ± 0.00 %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 ± 0.00 %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0号空载精确率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 ± 0.00 %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94.00 ± 5.89 %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三维向量MAE / 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1.51 ± 0.08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1.53 ± 0.33</w:t>
            </w:r>
          </w:p>
        </w:tc>
      </w:tr>
    </w:tbl>
    <w:p>
      <w:r>
        <w:t>标准差为三个随机种子的样本标准差，不是独立按压轮次的置信区间；三次训练使用相同测试帧，因此不能将它解释为跨会话稳定性。</w:t>
      </w:r>
    </w:p>
    <w:p>
      <w:r>
        <w:t>综合解释：本次注意力的平均准确率仅小幅高于CNN，差异小于两种模型跨种子的标准差，不能宣布显著提升。CNN宏F1与Fx/Fy回归更好；注意力Fz/向量MAE略小、空载精确率更高且种子波动较小。不同指标各有取舍，没有全面胜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/>
        </w:trPr>
        <w:tc>
          <w:tcPr>
            <w:tcW w:type="dxa" w:w="2521"/>
          </w:tcPr>
          <w:p>
            <w:r>
              <w:rPr>
                <w:sz w:val="16"/>
              </w:rPr>
              <w:t>交付模型测试子集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帧数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Sensor Token准确率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CNN准确率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1～19号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278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75.18%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75.54%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20～25号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12.22%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24.44%</w:t>
            </w:r>
          </w:p>
        </w:tc>
      </w:tr>
    </w:tbl>
    <w:p>
      <w:r>
        <w:t>特别警示：20～25号测试帧全部来自后补采段，注意力与CNN都明显低于1～19号同段尾部表现。这提示轮次漂移/分布变化风险，而不是已经证实具体硬件或标签原因。注意力训练准确率99.40%，测试仅61.36%，存在显著过拟合/泛化差距；不建议把此模型视为已验收的现场识别模型。</w:t>
      </w:r>
    </w:p>
    <w:p>
      <w:pPr>
        <w:pStyle w:val="Heading2"/>
      </w:pPr>
      <w:r>
        <w:t>最终交付的单个checkpoint（按验证集选中）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</w:trPr>
        <w:tc>
          <w:tcPr>
            <w:tcW w:type="dxa" w:w="3362"/>
          </w:tcPr>
          <w:p>
            <w:r>
              <w:rPr>
                <w:sz w:val="16"/>
              </w:rPr>
              <w:t>测试指标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Sensor Token选中模型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CNN选中模型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位置准确率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61.36%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64.49%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宏F1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0.574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0.625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仅按压位置准确率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59.78%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63.04%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空载精确率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空载召回率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100.00%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三维向量MAE/N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1.416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1.909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</w:trPr>
        <w:tc>
          <w:tcPr>
            <w:tcW w:type="dxa" w:w="3362"/>
          </w:tcPr>
          <w:p>
            <w:r>
              <w:rPr>
                <w:sz w:val="16"/>
              </w:rPr>
              <w:t>交付模型三轴力指标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Sensor Token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CNN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Fx MAE/N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0.403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0.405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Fx RMSE/N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0.553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0.567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Fx R²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0.199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Fy MAE/N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0.362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0.332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Fy RMSE/N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0.424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Fy R²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0.227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0.362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Fz MAE/N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1.161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1.723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Fz RMSE/N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1.640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2.149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Fz R²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0.238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-0.308</w:t>
            </w:r>
          </w:p>
        </w:tc>
      </w:tr>
    </w:tbl>
    <w:p>
      <w:r>
        <w:t>两个交付模型均选中seed=20261010；注意力最佳第113轮，CNN第36轮。该选择依据验证分数，测试集不参与选择；单个交付模型的分数不等于三个种子的均值。</w:t>
      </w:r>
    </w:p>
    <w:p>
      <w:pPr>
        <w:pStyle w:val="Heading1"/>
      </w:pPr>
      <w:r>
        <w:t>2. 数据审计与力标签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/>
        </w:trPr>
        <w:tc>
          <w:tcPr>
            <w:tcW w:type="dxa" w:w="2017"/>
          </w:tcPr>
          <w:p>
            <w:r>
              <w:rPr>
                <w:sz w:val="16"/>
              </w:rPr>
              <w:t>批次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主文件帧数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位置类别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有效45维ADC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有效三轴力</w:t>
            </w:r>
          </w:p>
        </w:tc>
      </w:tr>
      <w:tr>
        <w:tc>
          <w:tcPr>
            <w:tcW w:type="dxa" w:w="2017"/>
          </w:tcPr>
          <w:p>
            <w:r>
              <w:rPr>
                <w:sz w:val="16"/>
              </w:rPr>
              <w:t>09-27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2420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1～25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2420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2420</w:t>
            </w:r>
          </w:p>
        </w:tc>
      </w:tr>
      <w:tr>
        <w:tc>
          <w:tcPr>
            <w:tcW w:type="dxa" w:w="2017"/>
          </w:tcPr>
          <w:p>
            <w:r>
              <w:rPr>
                <w:sz w:val="16"/>
              </w:rPr>
              <w:t>10-08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仅0号空载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017"/>
          </w:tcPr>
          <w:p>
            <w:r>
              <w:rPr>
                <w:sz w:val="16"/>
              </w:rPr>
              <w:t>合计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2520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0～25共26类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2520</w:t>
            </w:r>
          </w:p>
        </w:tc>
        <w:tc>
          <w:tcPr>
            <w:tcW w:type="dxa" w:w="2017"/>
          </w:tcPr>
          <w:p>
            <w:r>
              <w:rPr>
                <w:sz w:val="16"/>
              </w:rPr>
              <w:t>2520</w:t>
            </w:r>
          </w:p>
        </w:tc>
      </w:tr>
    </w:tbl>
    <w:p>
      <w:r>
        <w:t>只使用两批frames.jsonl；frames.removed_label17_last18.jsonl是已删除的错误标注备份，未混回。主文件无重复source_frame_sequence、无完全相同45维ADC向量。两批45点波长路线、九峰索引顺序与25点物理布局完全一致；这只确认存储契约一致，不证明物理传感器身份一致。</w:t>
      </w:r>
    </w:p>
    <w:p>
      <w:r>
        <w:t>输入来自quality.stable_adc（同帧45个second_code），按光栅1～9每组五点组织；不使用first_code、不插值、不为不存在的光栅制造Token。</w:t>
      </w:r>
    </w:p>
    <w:p>
      <w:r>
        <w:t>空载真实Fx/Fy/Fz均值为[-0.049226999282836914, 0.0068350001238286495, -0.6584460139274597] N，标准差为[0.014258000068366528, 0.01640000008046627, 0.02133600041270256] N。空载Fz约−0.658 N，并非零；09-27 official_zero_count=1，10-08为0，零偏和协议/采集会话差异可能影响力任务。未对两批人为归零，也未将无按压强制定义为零力。</w:t>
      </w:r>
    </w:p>
    <w:p>
      <w:r>
        <w:t>所有帧stability_verified=false、optical_accuracy_verified=false；09-27的2419帧及10-08的100帧还标记unsettled/pair_difference_large。因此“stable_adc字段有效”只表示数值完整，不等于通过稳定性认证。遵循现有采集策略保留并说明质量标记，未静默删掉这些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/>
        </w:trPr>
        <w:tc>
          <w:tcPr>
            <w:tcW w:type="dxa" w:w="1681"/>
          </w:tcPr>
          <w:p>
            <w:r>
              <w:rPr>
                <w:sz w:val="16"/>
              </w:rPr>
              <w:t>位置标签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总数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训练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验证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测试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隔离帧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10</w:t>
            </w:r>
          </w:p>
        </w:tc>
      </w:tr>
    </w:tbl>
    <w:p>
      <w:pPr>
        <w:pStyle w:val="Heading1"/>
      </w:pPr>
      <w:r>
        <w:t>3. 模型结构与优化目标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</w:trPr>
        <w:tc>
          <w:tcPr>
            <w:tcW w:type="dxa" w:w="3362"/>
          </w:tcPr>
          <w:p>
            <w:r>
              <w:rPr>
                <w:sz w:val="16"/>
              </w:rPr>
              <w:t>模块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Sensor Token注意力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稀疏CNN对照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原始输入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B×9×5（九个真实光栅）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B×6×4×3（五通道+存在性Mask）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特征组织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5→48线性嵌入+可学习传感器身份编码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物理稀疏布局，空格填标准化后的0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共享backbone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2层Transformer Encoder；4头注意力；FFN=128；Pre-LN、GELU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保留旧CNN：Conv 6→24→48→48，3×3，ReLU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共享特征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九Token均值池化→Linear 48→128，GELU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Flatten→Linear 576→128，ReLU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Dropout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位置头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Linear 128→26 + softmax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Linear 128→26 + softmax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力头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Linear 128→3，无激活限制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Linear 128→3，无激活限制</w:t>
            </w:r>
          </w:p>
        </w:tc>
      </w:tr>
    </w:tbl>
    <w:p>
      <w:r>
        <w:t>位置标签为互斥26维one-hot bit语义：第0维对应无按压，第1～25维对应位置编号。实现用整数标签0～25和加权CrossEntropy，其数学目标等价于one-hot交叉熵；不是26个独立sigmoid多标签任务。softmax概率之和为1。</w:t>
      </w:r>
    </w:p>
    <w:p>
      <w:r>
        <w:t>力预测对Fx/Fy/Fz做回归，使用训练集真实力均值/标准差标准化后SmoothL1。总损失=位置交叉熵+力回归损失；若未来出现力缺失，保留分类样本、用mask屏蔽该帧回归，绝不补零。当前2520帧全部有有效力。</w:t>
      </w:r>
    </w:p>
    <w:p>
      <w:r>
        <w:t>两个任务反向传播到同一个特征提取器；仅预测头不同。Sensor Token可用全局跨光栅注意力建模相关性；CNN有局部二维几何归纳偏置。数据少、会话漂移和标签分布会影响两者，不预设注意力一定优于CNN。</w:t>
      </w:r>
    </w:p>
    <w:p>
      <w:r>
        <w:t>为公平比较，两个模型使用相同五通道标准化方式：每个五点通道跨训练样本及九个光栅统计均值/标准差。全部信号和力统计只拟合训练集，验证/测试仅变换。Sensor Token采用可学习光栅身份编码；CNN沿用原4×3布局与Mask。</w:t>
      </w:r>
    </w:p>
    <w:p>
      <w:pPr>
        <w:pStyle w:val="Heading1"/>
      </w:pPr>
      <w:r>
        <w:t>4. 划分与可复现训练条件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</w:trPr>
        <w:tc>
          <w:tcPr>
            <w:tcW w:type="dxa" w:w="3362"/>
          </w:tcPr>
          <w:p>
            <w:r>
              <w:rPr>
                <w:sz w:val="16"/>
              </w:rPr>
              <w:t>划分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帧数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用途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训练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1512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拟合参数、归一化与类别权重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验证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早停和选择checkpoint/种子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测试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只做最终指标计算，不用于参数拟合/选种子</w:t>
            </w:r>
          </w:p>
        </w:tc>
      </w:tr>
      <w:tr>
        <w:tc>
          <w:tcPr>
            <w:tcW w:type="dxa" w:w="3362"/>
          </w:tcPr>
          <w:p>
            <w:r>
              <w:rPr>
                <w:sz w:val="16"/>
              </w:rPr>
              <w:t>隔离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3362"/>
          </w:tcPr>
          <w:p>
            <w:r>
              <w:rPr>
                <w:sz w:val="16"/>
              </w:rPr>
              <w:t>排除边界相邻帧，既不训练也不评估</w:t>
            </w:r>
          </w:p>
        </w:tc>
      </w:tr>
    </w:tbl>
    <w:p>
      <w:r>
        <w:t>逐类按采集文件顺序：前60%训练，约5%隔离，约15%验证，约5%隔离，余下约15%测试；取整造成小幅比例差异。未随机交错相邻帧。标签1～19与0的三份仍来自同一连续段；20～25的训练主要来自第一段、验证与测试来自补采段，但验证和测试仍可同属一次按压。隔离区仅减少邻帧耦合，不能创造独立物理轮次。</w:t>
      </w:r>
    </w:p>
    <w:p>
      <w:r>
        <w:t>统一设置：AdamW，学习率0.001，weight_decay=0.0001，batch=64；最大180轮，验证分数连续30轮未改善则早停；梯度范数裁剪1.0；类别权重=train_count/(26×class_train_count)；CPU Torch线程=2。种子20261008、20261009、20261010。</w:t>
      </w:r>
    </w:p>
    <w:p>
      <w:r>
        <w:t>checkpoint/种子选择分数=验证位置准确率−0.05×验证标准化力MAE。最终交付模型是在三个种子中按该验证分数选择，不是按测试准确率挑选；没有在2520帧上重新拟合，以保留报告测试的可追溯性。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/>
        </w:trPr>
        <w:tc>
          <w:tcPr>
            <w:tcW w:type="dxa" w:w="1441"/>
          </w:tcPr>
          <w:p>
            <w:r>
              <w:rPr>
                <w:sz w:val="16"/>
              </w:rPr>
              <w:t>模型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种子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最佳轮次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已跑轮次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验证准确率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测试准确率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测试向量MAE/N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Sensor Token 注意力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20261008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56.66%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63.45%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1.575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稀疏CNN（26类重训）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20261008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66.32%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59.79%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1.408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Sensor Token 注意力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20261009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59.79%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63.19%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1.541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稀疏CNN（26类重训）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20261009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66.58%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61.10%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1.284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Sensor Token 注意力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20261010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62.66%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61.36%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1.416</w:t>
            </w:r>
          </w:p>
        </w:tc>
      </w:tr>
      <w:tr>
        <w:tc>
          <w:tcPr>
            <w:tcW w:type="dxa" w:w="1441"/>
          </w:tcPr>
          <w:p>
            <w:r>
              <w:rPr>
                <w:sz w:val="16"/>
              </w:rPr>
              <w:t>稀疏CNN（26类重训）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20261010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67.89%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64.49%</w:t>
            </w:r>
          </w:p>
        </w:tc>
        <w:tc>
          <w:tcPr>
            <w:tcW w:type="dxa" w:w="1441"/>
          </w:tcPr>
          <w:p>
            <w:r>
              <w:rPr>
                <w:sz w:val="16"/>
              </w:rPr>
              <w:t>1.909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2227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2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三维力指标与误差解释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/>
        </w:trPr>
        <w:tc>
          <w:tcPr>
            <w:tcW w:type="dxa" w:w="2521"/>
          </w:tcPr>
          <w:p>
            <w:r>
              <w:rPr>
                <w:sz w:val="16"/>
              </w:rPr>
              <w:t>测试三轴指标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Sensor Token均值±SD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CNN均值±SD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常数力预测基线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Fx MAE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0.40 ± 0.00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0.39 ± 0.02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0.465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Fx RMSE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0.55 ± 0.01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0.55 ± 0.02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0.637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Fx R²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0.24 ± 0.03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0.25 ± 0.06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-0.010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Fy MAE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0.36 ± 0.01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0.30 ± 0.03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0.408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Fy RMSE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0.46 ± 0.01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0.39 ± 0.03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0.532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Fy R²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0.26 ± 0.04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0.46 ± 0.09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-0.003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Fz MAE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1.29 ± 0.11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1.33 ± 0.34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2.373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Fz RMSE / 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1.81 ± 0.16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1.75 ± 0.37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2.660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Fz R²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0.06 ± 0.16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0.11 ± 0.38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-1.004</w:t>
            </w:r>
          </w:p>
        </w:tc>
      </w:tr>
    </w:tbl>
    <w:p>
      <w:r>
        <w:t>MAE为平均绝对误差，RMSE对大误差更敏感；R²=1−SSE/SST，负值表示在该测试轴上不如“测试均值”参照。表内常数预测基线则使用训练力均值，严格不读取测试力拟合。向量MAE=mean(||预测力−真实力||₂)，不是三个分轴MAE简单相加。</w:t>
      </w:r>
    </w:p>
    <w:p>
      <w:r>
        <w:drawing>
          <wp:inline xmlns:a="http://schemas.openxmlformats.org/drawingml/2006/main" xmlns:pic="http://schemas.openxmlformats.org/drawingml/2006/picture">
            <wp:extent cx="6126480" cy="4455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5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曲线使用按验证分数选出的单个checkpoint；跨标签、采集段或隔离帧断线。横轴是测试帧顺序，不是连续现场时间。力曲线重合程度可直观看效果，但不能替代MAE/RMSE/R²。</w:t>
      </w:r>
    </w:p>
    <w:p>
      <w:pPr>
        <w:pStyle w:val="Heading1"/>
      </w:pPr>
      <w:r>
        <w:t>6. 位置分类、空载与易混淆位置</w:t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26480" cy="2227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278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/>
        </w:trPr>
        <w:tc>
          <w:tcPr>
            <w:tcW w:type="dxa" w:w="1261"/>
          </w:tcPr>
          <w:p>
            <w:r>
              <w:rPr>
                <w:sz w:val="16"/>
              </w:rPr>
              <w:t>标签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测试数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Token精确率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Token召回率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Token F1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CNN精确率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CNN召回率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CNN F1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0.667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39.47%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0.566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94.44%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0.739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58.33%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38.89%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0.467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34.62%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0.439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42.86%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0.558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41.18%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0.438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0.636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25.00%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0.326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17.14%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0.240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44.00%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73.33%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0.550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0.533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76.47%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81.25%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0.788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51.85%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87.50%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0.651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33.33%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53.33%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0.410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55.56%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0.606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63.64%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0.560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0.417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45.45%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35.71%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54.55%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42.86%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0.480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0.828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0.828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60.87%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0.757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93.33%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0.966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92.86%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0.897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82.35%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0.903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92.31%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85.71%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64.29%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57.14%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0.727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92.86%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64.29%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0.783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0.118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0.720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64.29%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0.621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90.00%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0.720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261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0.118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80.00%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26.67%</w:t>
            </w:r>
          </w:p>
        </w:tc>
        <w:tc>
          <w:tcPr>
            <w:tcW w:type="dxa" w:w="1261"/>
          </w:tcPr>
          <w:p>
            <w:r>
              <w:rPr>
                <w:sz w:val="16"/>
              </w:rPr>
              <w:t>0.400</w:t>
            </w:r>
          </w:p>
        </w:tc>
      </w:tr>
    </w:tbl>
    <w:p>
      <w:r>
        <w:t>Sensor Token 注意力主要混淆（真实→预测）：20→6: 10帧；25→1: 9帧；24→3: 7帧；22→8: 6帧；16→11: 5帧；10→5: 5帧；9→5: 5帧；22→13: 4帧；21→13: 4帧；21→8: 4帧</w:t>
      </w:r>
    </w:p>
    <w:p>
      <w:r>
        <w:t>稀疏CNN（26类重训）主要混淆（真实→预测）：21→5: 9帧；5→1: 9帧；2→3: 9帧；24→6: 8帧；9→7: 8帧；25→1: 6帧；20→1: 6帧；21→6: 5帧；20→6: 5帧；10→9: 5帧</w:t>
      </w:r>
    </w:p>
    <w:p>
      <w:r>
        <w:t>0号测试仅15帧，且空载状态与会话完全绑定；即使空载精确率/召回率达到100%，也不能声称可靠的跨天接触判定。建议在每次完整按压轮次前后交错采集空载，统一归零流程并记录零偏、设备协议与温度。</w:t>
      </w:r>
    </w:p>
    <w:p>
      <w:pPr>
        <w:pStyle w:val="Heading1"/>
      </w:pPr>
      <w:r>
        <w:t>7. 模型体积、推理耗时及选中checkpoint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/>
        </w:trPr>
        <w:tc>
          <w:tcPr>
            <w:tcW w:type="dxa" w:w="1681"/>
          </w:tcPr>
          <w:p>
            <w:r>
              <w:rPr>
                <w:sz w:val="16"/>
              </w:rPr>
              <w:t>模型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选中种子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参数量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单帧中位数/ms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P95/ms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模型文件/KB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Sensor Token 注意力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20261010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54957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0.656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1.036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249.2</w:t>
            </w:r>
          </w:p>
        </w:tc>
      </w:tr>
      <w:tr>
        <w:tc>
          <w:tcPr>
            <w:tcW w:type="dxa" w:w="1681"/>
          </w:tcPr>
          <w:p>
            <w:r>
              <w:rPr>
                <w:sz w:val="16"/>
              </w:rPr>
              <w:t>稀疏CNN（26类重训）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20261010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110117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0.291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0.475</w:t>
            </w:r>
          </w:p>
        </w:tc>
        <w:tc>
          <w:tcPr>
            <w:tcW w:type="dxa" w:w="1681"/>
          </w:tcPr>
          <w:p>
            <w:r>
              <w:rPr>
                <w:sz w:val="16"/>
              </w:rPr>
              <w:t>450.7</w:t>
            </w:r>
          </w:p>
        </w:tc>
      </w:tr>
    </w:tbl>
    <w:p>
      <w:r>
        <w:t>单帧CPU耗时：固定2线程，预热20次后测量200次，包含输入标准化与模型计算；不含模型载入、串口、子进程IPC和Qt重绘，不能直接解释为GUI交互延迟。所有六个模型保存后均重载，与原模型预测逐项一致性检查通过。</w:t>
      </w:r>
    </w:p>
    <w:p>
      <w:r>
        <w:t>Sensor Token 注意力: C:\lyk\laser\FBG_OptiSense_Studio_多机通用版_开发源码_v1.0.4\Python\outputs\model_comparisons\sensor_token26_two_sessions_v1\sensor_token_selected.pt</w:t>
      </w:r>
    </w:p>
    <w:p>
      <w:r>
        <w:t>稀疏CNN（26类重训）: C:\lyk\laser\FBG_OptiSense_Studio_多机通用版_开发源码_v1.0.4\Python\outputs\model_comparisons\sensor_token26_two_sessions_v1\sparse_cnn26_selected.pt</w:t>
      </w:r>
    </w:p>
    <w:p>
      <w:pPr>
        <w:pStyle w:val="Heading1"/>
      </w:pPr>
      <w:r>
        <w:t>8. 与前一次25类稀疏CNN的关系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/>
        </w:trPr>
        <w:tc>
          <w:tcPr>
            <w:tcW w:type="dxa" w:w="2521"/>
          </w:tcPr>
          <w:p>
            <w:r>
              <w:rPr>
                <w:sz w:val="16"/>
              </w:rPr>
              <w:t>指标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旧25类CNN历史验证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本次Token测试（三种子均值）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能否直接比较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位置准确率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73.14%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62.66%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不能：类别/划分不同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Fx MAE/N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0.402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0.401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不能直接归因架构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Fy MAE/N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0.310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0.358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不能直接归因架构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Fz MAE/N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1.062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1.286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不能直接归因架构</w:t>
            </w:r>
          </w:p>
        </w:tc>
      </w:tr>
      <w:tr>
        <w:tc>
          <w:tcPr>
            <w:tcW w:type="dxa" w:w="2521"/>
          </w:tcPr>
          <w:p>
            <w:r>
              <w:rPr>
                <w:sz w:val="16"/>
              </w:rPr>
              <w:t>向量MAE/N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1.305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1.511</w:t>
            </w:r>
          </w:p>
        </w:tc>
        <w:tc>
          <w:tcPr>
            <w:tcW w:type="dxa" w:w="2521"/>
          </w:tcPr>
          <w:p>
            <w:r>
              <w:rPr>
                <w:sz w:val="16"/>
              </w:rPr>
              <w:t>不能直接归因架构</w:t>
            </w:r>
          </w:p>
        </w:tc>
      </w:tr>
    </w:tbl>
    <w:p>
      <w:r>
        <w:t>历史模型仅09-27的1～25号：训练1936帧、验证484帧、最佳第31轮；采用逐类尾部20%开发验证。旧模型没有0号输出。本次训练包含空载且有独立验证/测试角色、隔离区、26类头；历史73.14%只能作为背景记录。真正同口径对照是本文重训的26类CNN，不把历史分数变化当作架构收益。</w:t>
      </w:r>
    </w:p>
    <w:p>
      <w:pPr>
        <w:pStyle w:val="Heading1"/>
      </w:pPr>
      <w:r>
        <w:t>9. 局限、建议与使用方式</w:t>
      </w:r>
    </w:p>
    <w:p>
      <w:r>
        <w:t>现阶段最重要的提升路径不是继续追求同轮次高分，而是补采多个完整且随机顺序的轮次：每个会话覆盖0～25，0号在各按压之间交错出现，多个力方向/幅值，记录press_cycle_id/pass_id、归零状态、温度和设备协议；训练/验证/测试按完整轮次或会话隔离。建议至少5个完整轮次，3训练/1验证/1测试。</w:t>
      </w:r>
    </w:p>
    <w:p>
      <w:r>
        <w:t>注意力权重不自动等于传感器重要性或物理因果关系；本模型学习的跨光栅关联仍需独立数据验证。当前结果只作为开发模型，尚未进行真实设备在线按压和新会话验收。</w:t>
      </w:r>
    </w:p>
    <w:p>
      <w:r>
        <w:t>本次新增独立Torch推理接口，未修改第五页默认训练/加载逻辑，也未覆盖正在使用的旧模型。新格式fbg_touch26_v1须使用新的ModelBundle/serve入口，不能直接当旧25类模型格式加载。</w:t>
      </w:r>
    </w:p>
    <w:p>
      <w:r>
        <w:t>命令（在项目Python目录运行）：</w:t>
      </w:r>
    </w:p>
    <w:p>
      <w:r>
        <w:t>..\.venv\Scripts\python.exe -m manual_touch_sensor_token --serve "C:\lyk\laser\FBG_OptiSense_Studio_多机通用版_开发源码_v1.0.4\Python\outputs\model_comparisons\sensor_token26_two_sessions_v1\sensor_token_selected.pt"</w:t>
      </w:r>
    </w:p>
    <w:p>
      <w:r>
        <w:t>stdin每行JSON输入：{"adc": [同一帧45个稳定ADC值], "request_id": 1}；输出含position=0～25、confidence、26维probabilities及三轴force。0号是空载，不能传给仅接受1～25号的旧位置显示代码。</w:t>
      </w:r>
    </w:p>
    <w:p>
      <w:pPr>
        <w:pStyle w:val="Heading1"/>
      </w:pPr>
      <w:r>
        <w:t>10. 输出文件与审计追踪</w:t>
      </w:r>
    </w:p>
    <w:p>
      <w:r>
        <w:t>C:\lyk\laser\FBG_OptiSense_Studio_多机通用版_开发源码_v1.0.4\Python\outputs\model_comparisons\sensor_token26_two_sessions_v1</w:t>
      </w:r>
    </w:p>
    <w:p>
      <w:r>
        <w:t>comparison.json：六次训练与均值/标准差；split.json：每个样本的训练/验证/测试/隔离索引；dataset.npz：从原始JSONL提取的紧凑输入；data_audit.json：来源/行号/标签/run/sample_index；readonly_dataset_audit.json：独立只读审计；各seed的.pt、.report.json和预测NPZ；figures/：混淆矩阵、曲线、逐类召回率、学习曲线；experiment_manifest.json：软件版本与源码哈希。</w:t>
      </w:r>
    </w:p>
    <w:p>
      <w:r>
        <w:t>来源：C:\lyk\laser\FBG_OptiSense_Studio_多机通用版_开发源码_v1.0.4\Python\outputs\manual_touch_sequences\press_grid_20260927_113931\frames.jsonl</w:t>
      </w:r>
    </w:p>
    <w:p>
      <w:r>
        <w:t>SHA-256：68814796978eb7ea0d974bd64b9ad14f1fd569d4790f8ac803753d3597199ac4</w:t>
      </w:r>
    </w:p>
    <w:p>
      <w:r>
        <w:t>来源：C:\lyk\laser\FBG_OptiSense_Studio_多机通用版_开发源码_v1.0.4\Python\outputs\manual_touch_sequences\press_grid_20261008_151635\frames.jsonl</w:t>
      </w:r>
    </w:p>
    <w:p>
      <w:r>
        <w:t>SHA-256：b02e60e20844863f4bf9fa5d3e971114c43812aa24c4c5078596d0e1b29d6f04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开发评估 · 未完成跨会话现场泛化验证  |  页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三号机 FBG 触觉识别 | 两数据集重新训练与对比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