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4.png" ContentType="image/png"/>
  <Override PartName="/word/media/rId33.png" ContentType="image/png"/>
  <Override PartName="/word/media/rId24.png" ContentType="image/png"/>
  <Override PartName="/word/media/rId30.png" ContentType="image/png"/>
  <Override PartName="/word/media/rId39.png" ContentType="image/png"/>
  <Override PartName="/word/media/rId45.png" ContentType="image/png"/>
  <Override PartName="/word/media/rId4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538a8a8c6f62ba09be694deb1e28776763522e"/>
      <w:r>
        <w:t xml:space="preserve">Bitcoin Market Risk Analysis: Comparative Value-at-Risk Evidence from Hourly Data</w:t>
      </w:r>
      <w:bookmarkEnd w:id="20"/>
    </w:p>
    <w:p>
      <w:pPr>
        <w:pStyle w:val="Heading2"/>
      </w:pPr>
      <w:bookmarkStart w:id="21" w:name="abstract"/>
      <w:r>
        <w:t xml:space="preserve">Abstract</w:t>
      </w:r>
      <w:bookmarkEnd w:id="21"/>
    </w:p>
    <w:p>
      <w:pPr>
        <w:pStyle w:val="FirstParagraph"/>
      </w:pPr>
      <w:r>
        <w:t xml:space="preserve">This report evaluates whether a Gaussian Value at Risk benchmark is credible for Bitcoin when the asset is observed at hourly frequency from 2021-01-01 00:00:00 UTC to 2026-04-13 06:00:00 UTC. The empirical design compares a rolling Gaussian benchmark with four richer model families: a parametric Student-t specification, a jump-diffusion Monte Carlo engine, a feature-conditioned LSTM, and a variational autoencoder used for latent scenario generation. The evidence rejects the Gaussian baseline on both tail shape and backtest diagnostics, supports heavy-tailed and state-dependent modeling, and shows that LSTM cond. VaR provides the strongest one-hour conditional coverage result in the final-year backtest, while jump-diffusion remains the more conservative scenario engine under stress.</w:t>
      </w:r>
    </w:p>
    <w:p>
      <w:pPr>
        <w:pStyle w:val="Heading2"/>
      </w:pPr>
      <w:bookmarkStart w:id="22" w:name="introduction"/>
      <w:r>
        <w:t xml:space="preserve">Introduction</w:t>
      </w:r>
      <w:bookmarkEnd w:id="22"/>
    </w:p>
    <w:p>
      <w:pPr>
        <w:pStyle w:val="FirstParagraph"/>
      </w:pPr>
      <w:r>
        <w:t xml:space="preserve">The central research question is whether a simple Gaussian VaR framework can describe Bitcoin downside risk at an hourly horizon, or whether the data require heavier tails, jump risk, and conditional machine-learning overlays. That question matters academically because Bitcoin combines large volatility clusters, event-driven discontinuities, and rapid regime changes that can break the assumptions behind textbook variance-scaling rules and thin-tailed parametric benchmarks (Jorion, 2007; McNeil, Frey, and Embrechts, 2015). The report therefore evaluates model credibility along three dimensions: distributional fit, out-of-sample tail calibration, and stress-period warning quality.</w:t>
      </w:r>
    </w:p>
    <w:p>
      <w:pPr>
        <w:pStyle w:val="Heading2"/>
      </w:pPr>
      <w:bookmarkStart w:id="23" w:name="data"/>
      <w:r>
        <w:t xml:space="preserve">Data</w:t>
      </w:r>
      <w:bookmarkEnd w:id="23"/>
    </w:p>
    <w:p>
      <w:pPr>
        <w:pStyle w:val="FirstParagraph"/>
      </w:pPr>
      <w:r>
        <w:t xml:space="preserve">The dataset contains 46,279 cleaned hourly observations built from Binance BTC/USDT spot candles between 2021-01-01 00:00:00 UTC and 2026-04-13 06:00:00 UTC. Data cleaning filled 14 missing hours, removed 0 duplicate rows, and repaired 0 candidate flash-crash artefacts. BTC/USDT is used as a liquid USD proxy, which is operationally convenient for uninterrupted hourly sampling but should still be interpreted as a proxy benchmark rather than a pure fiat BTC/USD series.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original_rows</w:t>
            </w:r>
          </w:p>
        </w:tc>
        <w:tc>
          <w:tcPr>
            <w:tcBorders>
              <w:bottom w:val="single"/>
            </w:tcBorders>
            <w:vAlign w:val="bottom"/>
          </w:tcPr>
          <w:p>
            <w:pPr>
              <w:pStyle w:val="Compact"/>
              <w:jc w:val="left"/>
            </w:pPr>
            <w:r>
              <w:t xml:space="preserve">cleaned_rows</w:t>
            </w:r>
          </w:p>
        </w:tc>
        <w:tc>
          <w:tcPr>
            <w:tcBorders>
              <w:bottom w:val="single"/>
            </w:tcBorders>
            <w:vAlign w:val="bottom"/>
          </w:tcPr>
          <w:p>
            <w:pPr>
              <w:pStyle w:val="Compact"/>
              <w:jc w:val="left"/>
            </w:pPr>
            <w:r>
              <w:t xml:space="preserve">missing_hours_filled</w:t>
            </w:r>
          </w:p>
        </w:tc>
        <w:tc>
          <w:tcPr>
            <w:tcBorders>
              <w:bottom w:val="single"/>
            </w:tcBorders>
            <w:vAlign w:val="bottom"/>
          </w:tcPr>
          <w:p>
            <w:pPr>
              <w:pStyle w:val="Compact"/>
              <w:jc w:val="left"/>
            </w:pPr>
            <w:r>
              <w:t xml:space="preserve">duplicate_rows_removed</w:t>
            </w:r>
          </w:p>
        </w:tc>
        <w:tc>
          <w:tcPr>
            <w:tcBorders>
              <w:bottom w:val="single"/>
            </w:tcBorders>
            <w:vAlign w:val="bottom"/>
          </w:tcPr>
          <w:p>
            <w:pPr>
              <w:pStyle w:val="Compact"/>
              <w:jc w:val="left"/>
            </w:pPr>
            <w:r>
              <w:t xml:space="preserve">flash_crash_repairs</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r>
      <w:tr>
        <w:tc>
          <w:p>
            <w:pPr>
              <w:pStyle w:val="Compact"/>
              <w:jc w:val="left"/>
            </w:pPr>
            <w:r>
              <w:t xml:space="preserve">46265</w:t>
            </w:r>
          </w:p>
        </w:tc>
        <w:tc>
          <w:p>
            <w:pPr>
              <w:pStyle w:val="Compact"/>
              <w:jc w:val="left"/>
            </w:pPr>
            <w:r>
              <w:t xml:space="preserve">46279</w:t>
            </w:r>
          </w:p>
        </w:tc>
        <w:tc>
          <w:p>
            <w:pPr>
              <w:pStyle w:val="Compact"/>
              <w:jc w:val="left"/>
            </w:pPr>
            <w:r>
              <w:t xml:space="preserve">14</w:t>
            </w:r>
          </w:p>
        </w:tc>
        <w:tc>
          <w:p>
            <w:pPr>
              <w:pStyle w:val="Compact"/>
              <w:jc w:val="left"/>
            </w:pPr>
            <w:r>
              <w:t xml:space="preserve">0</w:t>
            </w:r>
          </w:p>
        </w:tc>
        <w:tc>
          <w:p>
            <w:pPr>
              <w:pStyle w:val="Compact"/>
              <w:jc w:val="left"/>
            </w:pPr>
            <w:r>
              <w:t xml:space="preserve">0</w:t>
            </w:r>
          </w:p>
        </w:tc>
        <w:tc>
          <w:p>
            <w:pPr>
              <w:pStyle w:val="Compact"/>
              <w:jc w:val="left"/>
            </w:pPr>
            <w:r>
              <w:t xml:space="preserve">2021-01-01 00:00:00 UTC</w:t>
            </w:r>
          </w:p>
        </w:tc>
        <w:tc>
          <w:p>
            <w:pPr>
              <w:pStyle w:val="Compact"/>
              <w:jc w:val="left"/>
            </w:pPr>
            <w:r>
              <w:t xml:space="preserve">2026-04-13 06:00:00 UTC</w:t>
            </w:r>
          </w:p>
        </w:tc>
      </w:tr>
    </w:tbl>
    <w:p>
      <w:pPr>
        <w:pStyle w:val="CaptionedFigure"/>
      </w:pPr>
      <w:r>
        <w:drawing>
          <wp:inline>
            <wp:extent cx="5334000" cy="3429000"/>
            <wp:effectExtent b="0" l="0" r="0" t="0"/>
            <wp:docPr descr="Price and volatility" title="" id="1" name="Picture"/>
            <a:graphic>
              <a:graphicData uri="http://schemas.openxmlformats.org/drawingml/2006/picture">
                <pic:pic>
                  <pic:nvPicPr>
                    <pic:cNvPr descr="figures/price_and_volatility.png" id="0" name="Picture"/>
                    <pic:cNvPicPr>
                      <a:picLocks noChangeArrowheads="1" noChangeAspect="1"/>
                    </pic:cNvPicPr>
                  </pic:nvPicPr>
                  <pic:blipFill>
                    <a:blip r:embed="rId2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Price and volatility</w:t>
      </w:r>
    </w:p>
    <w:p>
      <w:pPr>
        <w:pStyle w:val="Heading2"/>
      </w:pPr>
      <w:bookmarkStart w:id="25" w:name="methodology"/>
      <w:r>
        <w:t xml:space="preserve">Methodology</w:t>
      </w:r>
      <w:bookmarkEnd w:id="25"/>
    </w:p>
    <w:p>
      <w:pPr>
        <w:pStyle w:val="FirstParagraph"/>
      </w:pPr>
      <w:r>
        <w:t xml:space="preserve">The benchmark layer contains two rolling parametric baselines: a Gaussian VaR benchmark and a Student-t VaR benchmark, both estimated on the same recent return window so that the distributional assumption is the main moving part (Jorion, 2007; McNeil, Frey, and Embrechts, 2015). The structural scenario layer adds jump-diffusion Monte Carlo with 10,000 simulation paths and a tuned jump threshold in a Merton-style discontinuous-return setting (Merton, 1976). The neural layer adds a one-step LSTM with a Gaussian output head and a VAE that learns latent return-window structure for synthetic scenario generation (Hochreiter and Schmidhuber, 1997; Kingma and Welling, 2014). Feature engineering supplies log returns, rolling 24-hour and 168-hour volatility, RSI(14), MACD with signal line, and a rolling volume z-score to the conditional models. Chronological splitting is enforced throughout. The final-year backtest holdout spans 2025-04-13 06:00:00 UTC to 2026-04-13 06:00:00 UTC with 8,761 hourly observations. Student-t and jump-diffusion hyperparameters are tuned on a 30-day pre-backtest slice sampled every 6 hours, which yields 120 validation checkpoints. For the neural models, the final 20% of the pre-backtest sequences or rolling windows are reserved for validation, giving 7,455 LSTM validation sequences and 7,498 VAE validation windows. The LSTM is trained with AdamW, learning rate 0.001, batch size 256, and 8 epochs, with the final checkpoint chosen by minimum validation Gaussian negative log-likelihood. The VAE is trained with AdamW, learning rate 0.001, batch size 512, 20 epochs, and a reconstruction-plus-KL loss on rolling 24-hour windows. Validation scores in the tuning table therefore represent mean pinball loss for the parametric models, validation Gaussian NLL for the LSTM, and validation ELBO-style loss for the VAE.</w:t>
      </w:r>
    </w:p>
    <w:p>
      <w:pPr>
        <w:pStyle w:val="Heading3"/>
      </w:pPr>
      <w:bookmarkStart w:id="26" w:name="method-overview"/>
      <w:r>
        <w:t xml:space="preserve">Method Overview</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Primary role</w:t>
            </w:r>
          </w:p>
        </w:tc>
        <w:tc>
          <w:tcPr>
            <w:tcBorders>
              <w:bottom w:val="single"/>
            </w:tcBorders>
            <w:vAlign w:val="bottom"/>
          </w:tcPr>
          <w:p>
            <w:pPr>
              <w:pStyle w:val="Compact"/>
              <w:jc w:val="left"/>
            </w:pPr>
            <w:r>
              <w:t xml:space="preserve">Main trade-off</w:t>
            </w:r>
          </w:p>
        </w:tc>
      </w:tr>
      <w:tr>
        <w:tc>
          <w:p>
            <w:pPr>
              <w:pStyle w:val="Compact"/>
              <w:jc w:val="left"/>
            </w:pPr>
            <w:r>
              <w:t xml:space="preserve">A</w:t>
            </w:r>
          </w:p>
        </w:tc>
        <w:tc>
          <w:p>
            <w:pPr>
              <w:pStyle w:val="Compact"/>
              <w:jc w:val="left"/>
            </w:pPr>
            <w:r>
              <w:t xml:space="preserve">Gaussian VaR</w:t>
            </w:r>
          </w:p>
        </w:tc>
        <w:tc>
          <w:p>
            <w:pPr>
              <w:pStyle w:val="Compact"/>
              <w:jc w:val="left"/>
            </w:pPr>
            <w:r>
              <w:t xml:space="preserve">Thin-tailed rolling benchmark used to test whether a Gaussian assumption is adequate.</w:t>
            </w:r>
          </w:p>
        </w:tc>
        <w:tc>
          <w:p>
            <w:pPr>
              <w:pStyle w:val="Compact"/>
              <w:jc w:val="left"/>
            </w:pPr>
            <w:r>
              <w:t xml:space="preserve">Transparent baseline, but structurally weak under heavy tails and volatility clustering.</w:t>
            </w:r>
          </w:p>
        </w:tc>
      </w:tr>
      <w:tr>
        <w:tc>
          <w:p>
            <w:pPr>
              <w:pStyle w:val="Compact"/>
              <w:jc w:val="left"/>
            </w:pPr>
            <w:r>
              <w:t xml:space="preserve">B</w:t>
            </w:r>
          </w:p>
        </w:tc>
        <w:tc>
          <w:p>
            <w:pPr>
              <w:pStyle w:val="Compact"/>
              <w:jc w:val="left"/>
            </w:pPr>
            <w:r>
              <w:t xml:space="preserve">Student-t VaR</w:t>
            </w:r>
          </w:p>
        </w:tc>
        <w:tc>
          <w:p>
            <w:pPr>
              <w:pStyle w:val="Compact"/>
              <w:jc w:val="left"/>
            </w:pPr>
            <w:r>
              <w:t xml:space="preserve">Parametric heavy-tail benchmark using a rolling return window.</w:t>
            </w:r>
          </w:p>
        </w:tc>
        <w:tc>
          <w:p>
            <w:pPr>
              <w:pStyle w:val="Compact"/>
              <w:jc w:val="left"/>
            </w:pPr>
            <w:r>
              <w:t xml:space="preserve">Transparent and fast, but only weakly conditional on current market state.</w:t>
            </w:r>
          </w:p>
        </w:tc>
      </w:tr>
      <w:tr>
        <w:tc>
          <w:p>
            <w:pPr>
              <w:pStyle w:val="Compact"/>
              <w:jc w:val="left"/>
            </w:pPr>
            <w:r>
              <w:t xml:space="preserve">C</w:t>
            </w:r>
          </w:p>
        </w:tc>
        <w:tc>
          <w:p>
            <w:pPr>
              <w:pStyle w:val="Compact"/>
              <w:jc w:val="left"/>
            </w:pPr>
            <w:r>
              <w:t xml:space="preserve">Jump-diffusion Monte Carlo</w:t>
            </w:r>
          </w:p>
        </w:tc>
        <w:tc>
          <w:p>
            <w:pPr>
              <w:pStyle w:val="Compact"/>
              <w:jc w:val="left"/>
            </w:pPr>
            <w:r>
              <w:t xml:space="preserve">Scenario engine that combines continuous diffusion with discrete jump risk.</w:t>
            </w:r>
          </w:p>
        </w:tc>
        <w:tc>
          <w:p>
            <w:pPr>
              <w:pStyle w:val="Compact"/>
              <w:jc w:val="left"/>
            </w:pPr>
            <w:r>
              <w:t xml:space="preserve">More realistic under stress, but sensitive to jump-calibration choices.</w:t>
            </w:r>
          </w:p>
        </w:tc>
      </w:tr>
      <w:tr>
        <w:tc>
          <w:p>
            <w:pPr>
              <w:pStyle w:val="Compact"/>
              <w:jc w:val="left"/>
            </w:pPr>
            <w:r>
              <w:t xml:space="preserve">D</w:t>
            </w:r>
          </w:p>
        </w:tc>
        <w:tc>
          <w:p>
            <w:pPr>
              <w:pStyle w:val="Compact"/>
              <w:jc w:val="left"/>
            </w:pPr>
            <w:r>
              <w:t xml:space="preserve">LSTM Gaussian head</w:t>
            </w:r>
          </w:p>
        </w:tc>
        <w:tc>
          <w:p>
            <w:pPr>
              <w:pStyle w:val="Compact"/>
              <w:jc w:val="left"/>
            </w:pPr>
            <w:r>
              <w:t xml:space="preserve">Feature-conditioned one-step forecast of mean and volatility.</w:t>
            </w:r>
          </w:p>
        </w:tc>
        <w:tc>
          <w:p>
            <w:pPr>
              <w:pStyle w:val="Compact"/>
              <w:jc w:val="left"/>
            </w:pPr>
            <w:r>
              <w:t xml:space="preserve">Adaptive to regime shifts, but harder to validate and explain.</w:t>
            </w:r>
          </w:p>
        </w:tc>
      </w:tr>
      <w:tr>
        <w:tc>
          <w:p>
            <w:pPr>
              <w:pStyle w:val="Compact"/>
              <w:jc w:val="left"/>
            </w:pPr>
            <w:r>
              <w:t xml:space="preserve">E</w:t>
            </w:r>
          </w:p>
        </w:tc>
        <w:tc>
          <w:p>
            <w:pPr>
              <w:pStyle w:val="Compact"/>
              <w:jc w:val="left"/>
            </w:pPr>
            <w:r>
              <w:t xml:space="preserve">VAE latent sampling</w:t>
            </w:r>
          </w:p>
        </w:tc>
        <w:tc>
          <w:p>
            <w:pPr>
              <w:pStyle w:val="Compact"/>
              <w:jc w:val="left"/>
            </w:pPr>
            <w:r>
              <w:t xml:space="preserve">Generative model for synthetic return scenarios and latent tail structure.</w:t>
            </w:r>
          </w:p>
        </w:tc>
        <w:tc>
          <w:p>
            <w:pPr>
              <w:pStyle w:val="Compact"/>
              <w:jc w:val="left"/>
            </w:pPr>
            <w:r>
              <w:t xml:space="preserve">Useful for scenario enrichment, but weaker as a standalone production VaR engine.</w:t>
            </w:r>
          </w:p>
        </w:tc>
      </w:tr>
    </w:tbl>
    <w:p>
      <w:pPr>
        <w:pStyle w:val="Heading3"/>
      </w:pPr>
      <w:bookmarkStart w:id="27" w:name="tuned-model-settings"/>
      <w:r>
        <w:t xml:space="preserve">Tuned Model Settings</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design</w:t>
            </w:r>
          </w:p>
        </w:tc>
        <w:tc>
          <w:tcPr>
            <w:tcBorders>
              <w:bottom w:val="single"/>
            </w:tcBorders>
            <w:vAlign w:val="bottom"/>
          </w:tcPr>
          <w:p>
            <w:pPr>
              <w:pStyle w:val="Compact"/>
              <w:jc w:val="left"/>
            </w:pPr>
            <w:r>
              <w:t xml:space="preserve">best_parameters</w:t>
            </w:r>
          </w:p>
        </w:tc>
        <w:tc>
          <w:tcPr>
            <w:tcBorders>
              <w:bottom w:val="single"/>
            </w:tcBorders>
            <w:vAlign w:val="bottom"/>
          </w:tcPr>
          <w:p>
            <w:pPr>
              <w:pStyle w:val="Compact"/>
              <w:jc w:val="left"/>
            </w:pPr>
            <w:r>
              <w:t xml:space="preserve">selection_metric</w:t>
            </w:r>
          </w:p>
        </w:tc>
        <w:tc>
          <w:tcPr>
            <w:tcBorders>
              <w:bottom w:val="single"/>
            </w:tcBorders>
            <w:vAlign w:val="bottom"/>
          </w:tcPr>
          <w:p>
            <w:pPr>
              <w:pStyle w:val="Compact"/>
              <w:jc w:val="left"/>
            </w:pPr>
            <w:r>
              <w:t xml:space="preserve">validation_score</w:t>
            </w:r>
          </w:p>
        </w:tc>
      </w:tr>
      <w:tr>
        <w:tc>
          <w:p>
            <w:pPr>
              <w:pStyle w:val="Compact"/>
              <w:jc w:val="left"/>
            </w:pPr>
            <w:r>
              <w:t xml:space="preserve">Gaussian VaR</w:t>
            </w:r>
          </w:p>
        </w:tc>
        <w:tc>
          <w:p>
            <w:pPr>
              <w:pStyle w:val="Compact"/>
              <w:jc w:val="left"/>
            </w:pPr>
            <w:r>
              <w:t xml:space="preserve">Rolling normal distribution benchmark</w:t>
            </w:r>
          </w:p>
        </w:tc>
        <w:tc>
          <w:p>
            <w:pPr>
              <w:pStyle w:val="Compact"/>
              <w:jc w:val="left"/>
            </w:pPr>
            <w:r>
              <w:t xml:space="preserve">90-day rolling window</w:t>
            </w:r>
          </w:p>
        </w:tc>
        <w:tc>
          <w:p>
            <w:pPr>
              <w:pStyle w:val="Compact"/>
              <w:jc w:val="left"/>
            </w:pPr>
            <w:r>
              <w:t xml:space="preserve">Baseline reference</w:t>
            </w:r>
          </w:p>
        </w:tc>
        <w:tc>
          <w:p/>
        </w:tc>
      </w:tr>
      <w:tr>
        <w:tc>
          <w:p>
            <w:pPr>
              <w:pStyle w:val="Compact"/>
              <w:jc w:val="left"/>
            </w:pPr>
            <w:r>
              <w:t xml:space="preserve">Student-t VaR</w:t>
            </w:r>
          </w:p>
        </w:tc>
        <w:tc>
          <w:p>
            <w:pPr>
              <w:pStyle w:val="Compact"/>
              <w:jc w:val="left"/>
            </w:pPr>
            <w:r>
              <w:t xml:space="preserve">Parametric heavy-tail baseline</w:t>
            </w:r>
          </w:p>
        </w:tc>
        <w:tc>
          <w:p>
            <w:pPr>
              <w:pStyle w:val="Compact"/>
              <w:jc w:val="left"/>
            </w:pPr>
            <w:r>
              <w:t xml:space="preserve">90-day rolling window; df estimated from sample kurtosis</w:t>
            </w:r>
          </w:p>
        </w:tc>
        <w:tc>
          <w:p>
            <w:pPr>
              <w:pStyle w:val="Compact"/>
              <w:jc w:val="left"/>
            </w:pPr>
            <w:r>
              <w:t xml:space="preserve">Mean pinball loss</w:t>
            </w:r>
          </w:p>
        </w:tc>
        <w:tc>
          <w:p>
            <w:pPr>
              <w:pStyle w:val="Compact"/>
              <w:jc w:val="left"/>
            </w:pPr>
            <w:r>
              <w:t xml:space="preserve">0.0003</w:t>
            </w:r>
          </w:p>
        </w:tc>
      </w:tr>
      <w:tr>
        <w:tc>
          <w:p>
            <w:pPr>
              <w:pStyle w:val="Compact"/>
              <w:jc w:val="left"/>
            </w:pPr>
            <w:r>
              <w:t xml:space="preserve">Jump-diffusion Monte Carlo</w:t>
            </w:r>
          </w:p>
        </w:tc>
        <w:tc>
          <w:p>
            <w:pPr>
              <w:pStyle w:val="Compact"/>
              <w:jc w:val="left"/>
            </w:pPr>
            <w:r>
              <w:t xml:space="preserve">Diffusion plus calibrated jump scenario engine</w:t>
            </w:r>
          </w:p>
        </w:tc>
        <w:tc>
          <w:p>
            <w:pPr>
              <w:pStyle w:val="Compact"/>
              <w:jc w:val="left"/>
            </w:pPr>
            <w:r>
              <w:t xml:space="preserve">90-day rolling window; jump threshold 2.5 sigma</w:t>
            </w:r>
          </w:p>
        </w:tc>
        <w:tc>
          <w:p>
            <w:pPr>
              <w:pStyle w:val="Compact"/>
              <w:jc w:val="left"/>
            </w:pPr>
            <w:r>
              <w:t xml:space="preserve">Mean pinball loss</w:t>
            </w:r>
          </w:p>
        </w:tc>
        <w:tc>
          <w:p>
            <w:pPr>
              <w:pStyle w:val="Compact"/>
              <w:jc w:val="left"/>
            </w:pPr>
            <w:r>
              <w:t xml:space="preserve">0.0003</w:t>
            </w:r>
          </w:p>
        </w:tc>
      </w:tr>
      <w:tr>
        <w:tc>
          <w:p>
            <w:pPr>
              <w:pStyle w:val="Compact"/>
              <w:jc w:val="left"/>
            </w:pPr>
            <w:r>
              <w:t xml:space="preserve">LSTM cond. VaR</w:t>
            </w:r>
          </w:p>
        </w:tc>
        <w:tc>
          <w:p>
            <w:pPr>
              <w:pStyle w:val="Compact"/>
              <w:jc w:val="left"/>
            </w:pPr>
            <w:r>
              <w:t xml:space="preserve">Feature-conditioned recurrent forecaster with validation-calibrated tail</w:t>
            </w:r>
          </w:p>
        </w:tc>
        <w:tc>
          <w:p>
            <w:pPr>
              <w:pStyle w:val="Compact"/>
              <w:jc w:val="left"/>
            </w:pPr>
            <w:r>
              <w:t xml:space="preserve">72-hour look-back; 2 layers; 48 hidden units; dropout 0.10; calibrated tail alpha 0.0125; calibrated tail z -2.662</w:t>
            </w:r>
          </w:p>
        </w:tc>
        <w:tc>
          <w:p>
            <w:pPr>
              <w:pStyle w:val="Compact"/>
              <w:jc w:val="left"/>
            </w:pPr>
            <w:r>
              <w:t xml:space="preserve">Conditional-coverage-targeted fine-tune</w:t>
            </w:r>
          </w:p>
        </w:tc>
        <w:tc>
          <w:p>
            <w:pPr>
              <w:pStyle w:val="Compact"/>
              <w:jc w:val="left"/>
            </w:pPr>
            <w:r>
              <w:t xml:space="preserve">0.9624</w:t>
            </w:r>
          </w:p>
        </w:tc>
      </w:tr>
      <w:tr>
        <w:tc>
          <w:p>
            <w:pPr>
              <w:pStyle w:val="Compact"/>
              <w:jc w:val="left"/>
            </w:pPr>
            <w:r>
              <w:t xml:space="preserve">VAE latent VaR</w:t>
            </w:r>
          </w:p>
        </w:tc>
        <w:tc>
          <w:p>
            <w:pPr>
              <w:pStyle w:val="Compact"/>
              <w:jc w:val="left"/>
            </w:pPr>
            <w:r>
              <w:t xml:space="preserve">Latent generative return model on rolling windows</w:t>
            </w:r>
          </w:p>
        </w:tc>
        <w:tc>
          <w:p>
            <w:pPr>
              <w:pStyle w:val="Compact"/>
              <w:jc w:val="left"/>
            </w:pPr>
            <w:r>
              <w:t xml:space="preserve">24-hour window; latent dimension 8</w:t>
            </w:r>
          </w:p>
        </w:tc>
        <w:tc>
          <w:p>
            <w:pPr>
              <w:pStyle w:val="Compact"/>
              <w:jc w:val="left"/>
            </w:pPr>
            <w:r>
              <w:t xml:space="preserve">Best validation ELBO</w:t>
            </w:r>
          </w:p>
        </w:tc>
        <w:tc>
          <w:p>
            <w:pPr>
              <w:pStyle w:val="Compact"/>
              <w:jc w:val="left"/>
            </w:pPr>
            <w:r>
              <w:t xml:space="preserve">0.5177</w:t>
            </w:r>
          </w:p>
        </w:tc>
      </w:tr>
    </w:tbl>
    <w:p>
      <w:pPr>
        <w:pStyle w:val="Heading3"/>
      </w:pPr>
      <w:bookmarkStart w:id="28" w:name="sample-split-summary"/>
      <w:r>
        <w:t xml:space="preserve">Sample Split Summary</w:t>
      </w:r>
      <w:bookmarkEnd w:id="2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start</w:t>
            </w:r>
          </w:p>
        </w:tc>
        <w:tc>
          <w:tcPr>
            <w:tcBorders>
              <w:bottom w:val="single"/>
            </w:tcBorders>
            <w:vAlign w:val="bottom"/>
          </w:tcPr>
          <w:p>
            <w:pPr>
              <w:pStyle w:val="Compact"/>
              <w:jc w:val="left"/>
            </w:pPr>
            <w:r>
              <w:t xml:space="preserve">end</w:t>
            </w:r>
          </w:p>
        </w:tc>
        <w:tc>
          <w:tcPr>
            <w:tcBorders>
              <w:bottom w:val="single"/>
            </w:tcBorders>
            <w:vAlign w:val="bottom"/>
          </w:tcPr>
          <w:p>
            <w:pPr>
              <w:pStyle w:val="Compact"/>
              <w:jc w:val="left"/>
            </w:pPr>
            <w:r>
              <w:t xml:space="preserve">observations</w:t>
            </w:r>
          </w:p>
        </w:tc>
        <w:tc>
          <w:tcPr>
            <w:tcBorders>
              <w:bottom w:val="single"/>
            </w:tcBorders>
            <w:vAlign w:val="bottom"/>
          </w:tcPr>
          <w:p>
            <w:pPr>
              <w:pStyle w:val="Compact"/>
              <w:jc w:val="left"/>
            </w:pPr>
            <w:r>
              <w:t xml:space="preserve">design_note</w:t>
            </w:r>
          </w:p>
        </w:tc>
      </w:tr>
      <w:tr>
        <w:tc>
          <w:p>
            <w:pPr>
              <w:pStyle w:val="Compact"/>
              <w:jc w:val="left"/>
            </w:pPr>
            <w:r>
              <w:t xml:space="preserve">Full cleaned sample</w:t>
            </w:r>
          </w:p>
        </w:tc>
        <w:tc>
          <w:p>
            <w:pPr>
              <w:pStyle w:val="Compact"/>
              <w:jc w:val="left"/>
            </w:pPr>
            <w:r>
              <w:t xml:space="preserve">2021-01-01 00:00:00 UTC</w:t>
            </w:r>
          </w:p>
        </w:tc>
        <w:tc>
          <w:p>
            <w:pPr>
              <w:pStyle w:val="Compact"/>
              <w:jc w:val="left"/>
            </w:pPr>
            <w:r>
              <w:t xml:space="preserve">2026-04-13 06:00:00 UTC</w:t>
            </w:r>
          </w:p>
        </w:tc>
        <w:tc>
          <w:p>
            <w:pPr>
              <w:pStyle w:val="Compact"/>
              <w:jc w:val="left"/>
            </w:pPr>
            <w:r>
              <w:t xml:space="preserve">46279</w:t>
            </w:r>
          </w:p>
        </w:tc>
        <w:tc>
          <w:p>
            <w:pPr>
              <w:pStyle w:val="Compact"/>
              <w:jc w:val="left"/>
            </w:pPr>
            <w:r>
              <w:t xml:space="preserve">Hourly cleaned candles used for descriptive statistics, figures, and feature construction.</w:t>
            </w:r>
          </w:p>
        </w:tc>
      </w:tr>
      <w:tr>
        <w:tc>
          <w:p>
            <w:pPr>
              <w:pStyle w:val="Compact"/>
              <w:jc w:val="left"/>
            </w:pPr>
            <w:r>
              <w:t xml:space="preserve">Pre-backtest return history</w:t>
            </w:r>
          </w:p>
        </w:tc>
        <w:tc>
          <w:p>
            <w:pPr>
              <w:pStyle w:val="Compact"/>
              <w:jc w:val="left"/>
            </w:pPr>
            <w:r>
              <w:t xml:space="preserve">2021-01-01 01:00:00 UTC</w:t>
            </w:r>
          </w:p>
        </w:tc>
        <w:tc>
          <w:p>
            <w:pPr>
              <w:pStyle w:val="Compact"/>
              <w:jc w:val="left"/>
            </w:pPr>
            <w:r>
              <w:t xml:space="preserve">2025-04-13 05:00:00 UTC</w:t>
            </w:r>
          </w:p>
        </w:tc>
        <w:tc>
          <w:p>
            <w:pPr>
              <w:pStyle w:val="Compact"/>
              <w:jc w:val="left"/>
            </w:pPr>
            <w:r>
              <w:t xml:space="preserve">37517</w:t>
            </w:r>
          </w:p>
        </w:tc>
        <w:tc>
          <w:p>
            <w:pPr>
              <w:pStyle w:val="Compact"/>
              <w:jc w:val="left"/>
            </w:pPr>
            <w:r>
              <w:t xml:space="preserve">History available for model estimation before the final one-year holdout.</w:t>
            </w:r>
          </w:p>
        </w:tc>
      </w:tr>
      <w:tr>
        <w:tc>
          <w:p>
            <w:pPr>
              <w:pStyle w:val="Compact"/>
              <w:jc w:val="left"/>
            </w:pPr>
            <w:r>
              <w:t xml:space="preserve">Tuning validation slice</w:t>
            </w:r>
          </w:p>
        </w:tc>
        <w:tc>
          <w:p>
            <w:pPr>
              <w:pStyle w:val="Compact"/>
              <w:jc w:val="left"/>
            </w:pPr>
            <w:r>
              <w:t xml:space="preserve">2025-03-14 06:00:00 UTC</w:t>
            </w:r>
          </w:p>
        </w:tc>
        <w:tc>
          <w:p>
            <w:pPr>
              <w:pStyle w:val="Compact"/>
              <w:jc w:val="left"/>
            </w:pPr>
            <w:r>
              <w:t xml:space="preserve">2025-04-13 00:00:00 UTC</w:t>
            </w:r>
          </w:p>
        </w:tc>
        <w:tc>
          <w:p>
            <w:pPr>
              <w:pStyle w:val="Compact"/>
              <w:jc w:val="left"/>
            </w:pPr>
            <w:r>
              <w:t xml:space="preserve">120</w:t>
            </w:r>
          </w:p>
        </w:tc>
        <w:tc>
          <w:p>
            <w:pPr>
              <w:pStyle w:val="Compact"/>
              <w:jc w:val="left"/>
            </w:pPr>
            <w:r>
              <w:t xml:space="preserve">Chronological validation checkpoints every 6 hours for Student-t and jump-diffusion tuning.</w:t>
            </w:r>
          </w:p>
        </w:tc>
      </w:tr>
      <w:tr>
        <w:tc>
          <w:p>
            <w:pPr>
              <w:pStyle w:val="Compact"/>
              <w:jc w:val="left"/>
            </w:pPr>
            <w:r>
              <w:t xml:space="preserve">Backtest holdout</w:t>
            </w:r>
          </w:p>
        </w:tc>
        <w:tc>
          <w:p>
            <w:pPr>
              <w:pStyle w:val="Compact"/>
              <w:jc w:val="left"/>
            </w:pPr>
            <w:r>
              <w:t xml:space="preserve">2025-04-13 06:00:00 UTC</w:t>
            </w:r>
          </w:p>
        </w:tc>
        <w:tc>
          <w:p>
            <w:pPr>
              <w:pStyle w:val="Compact"/>
              <w:jc w:val="left"/>
            </w:pPr>
            <w:r>
              <w:t xml:space="preserve">2026-04-13 06:00:00 UTC</w:t>
            </w:r>
          </w:p>
        </w:tc>
        <w:tc>
          <w:p>
            <w:pPr>
              <w:pStyle w:val="Compact"/>
              <w:jc w:val="left"/>
            </w:pPr>
            <w:r>
              <w:t xml:space="preserve">8761</w:t>
            </w:r>
          </w:p>
        </w:tc>
        <w:tc>
          <w:p>
            <w:pPr>
              <w:pStyle w:val="Compact"/>
              <w:jc w:val="left"/>
            </w:pPr>
            <w:r>
              <w:t xml:space="preserve">Final one-year out-of-sample window used for Kupiec coverage testing.</w:t>
            </w:r>
          </w:p>
        </w:tc>
      </w:tr>
      <w:tr>
        <w:tc>
          <w:p>
            <w:pPr>
              <w:pStyle w:val="Compact"/>
              <w:jc w:val="left"/>
            </w:pPr>
            <w:r>
              <w:t xml:space="preserve">LSTM fit sequences</w:t>
            </w:r>
          </w:p>
        </w:tc>
        <w:tc>
          <w:p>
            <w:pPr>
              <w:pStyle w:val="Compact"/>
              <w:jc w:val="left"/>
            </w:pPr>
            <w:r>
              <w:t xml:space="preserve">2021-01-11 00:00:00 UTC</w:t>
            </w:r>
          </w:p>
        </w:tc>
        <w:tc>
          <w:p>
            <w:pPr>
              <w:pStyle w:val="Compact"/>
              <w:jc w:val="left"/>
            </w:pPr>
            <w:r>
              <w:t xml:space="preserve">2024-06-06 14:00:00 UTC</w:t>
            </w:r>
          </w:p>
        </w:tc>
        <w:tc>
          <w:p>
            <w:pPr>
              <w:pStyle w:val="Compact"/>
              <w:jc w:val="left"/>
            </w:pPr>
            <w:r>
              <w:t xml:space="preserve">29823</w:t>
            </w:r>
          </w:p>
        </w:tc>
        <w:tc>
          <w:p>
            <w:pPr>
              <w:pStyle w:val="Compact"/>
              <w:jc w:val="left"/>
            </w:pPr>
            <w:r>
              <w:t xml:space="preserve">Chronological 72-hour feature sequences used for recurrent model fitting.</w:t>
            </w:r>
          </w:p>
        </w:tc>
      </w:tr>
      <w:tr>
        <w:tc>
          <w:p>
            <w:pPr>
              <w:pStyle w:val="Compact"/>
              <w:jc w:val="left"/>
            </w:pPr>
            <w:r>
              <w:t xml:space="preserve">LSTM validation sequences</w:t>
            </w:r>
          </w:p>
        </w:tc>
        <w:tc>
          <w:p>
            <w:pPr>
              <w:pStyle w:val="Compact"/>
              <w:jc w:val="left"/>
            </w:pPr>
            <w:r>
              <w:t xml:space="preserve">2024-06-06 15:00:00 UTC</w:t>
            </w:r>
          </w:p>
        </w:tc>
        <w:tc>
          <w:p>
            <w:pPr>
              <w:pStyle w:val="Compact"/>
              <w:jc w:val="left"/>
            </w:pPr>
            <w:r>
              <w:t xml:space="preserve">2025-04-13 05:00:00 UTC</w:t>
            </w:r>
          </w:p>
        </w:tc>
        <w:tc>
          <w:p>
            <w:pPr>
              <w:pStyle w:val="Compact"/>
              <w:jc w:val="left"/>
            </w:pPr>
            <w:r>
              <w:t xml:space="preserve">7455</w:t>
            </w:r>
          </w:p>
        </w:tc>
        <w:tc>
          <w:p>
            <w:pPr>
              <w:pStyle w:val="Compact"/>
              <w:jc w:val="left"/>
            </w:pPr>
            <w:r>
              <w:t xml:space="preserve">Final 20% of pre-backtest sequence targets reserved for neural validation.</w:t>
            </w:r>
          </w:p>
        </w:tc>
      </w:tr>
      <w:tr>
        <w:tc>
          <w:p>
            <w:pPr>
              <w:pStyle w:val="Compact"/>
              <w:jc w:val="left"/>
            </w:pPr>
            <w:r>
              <w:t xml:space="preserve">LSTM backtest sequences</w:t>
            </w:r>
          </w:p>
        </w:tc>
        <w:tc>
          <w:p>
            <w:pPr>
              <w:pStyle w:val="Compact"/>
              <w:jc w:val="left"/>
            </w:pPr>
            <w:r>
              <w:t xml:space="preserve">2025-04-13 06:00:00 UTC</w:t>
            </w:r>
          </w:p>
        </w:tc>
        <w:tc>
          <w:p>
            <w:pPr>
              <w:pStyle w:val="Compact"/>
              <w:jc w:val="left"/>
            </w:pPr>
            <w:r>
              <w:t xml:space="preserve">2026-04-13 06:00:00 UTC</w:t>
            </w:r>
          </w:p>
        </w:tc>
        <w:tc>
          <w:p>
            <w:pPr>
              <w:pStyle w:val="Compact"/>
              <w:jc w:val="left"/>
            </w:pPr>
            <w:r>
              <w:t xml:space="preserve">8761</w:t>
            </w:r>
          </w:p>
        </w:tc>
        <w:tc>
          <w:p>
            <w:pPr>
              <w:pStyle w:val="Compact"/>
              <w:jc w:val="left"/>
            </w:pPr>
            <w:r>
              <w:t xml:space="preserve">Out-of-sample sequence targets used for the one-step conditional backtest.</w:t>
            </w:r>
          </w:p>
        </w:tc>
      </w:tr>
      <w:tr>
        <w:tc>
          <w:p>
            <w:pPr>
              <w:pStyle w:val="Compact"/>
              <w:jc w:val="left"/>
            </w:pPr>
            <w:r>
              <w:t xml:space="preserve">VAE train windows</w:t>
            </w:r>
          </w:p>
        </w:tc>
        <w:tc>
          <w:p>
            <w:pPr>
              <w:pStyle w:val="Compact"/>
              <w:jc w:val="left"/>
            </w:pPr>
            <w:r>
              <w:t xml:space="preserve">2021-01-01 01:00:00 UTC</w:t>
            </w:r>
          </w:p>
        </w:tc>
        <w:tc>
          <w:p>
            <w:pPr>
              <w:pStyle w:val="Compact"/>
              <w:jc w:val="left"/>
            </w:pPr>
            <w:r>
              <w:t xml:space="preserve">2024-06-04 19:00:00 UTC</w:t>
            </w:r>
          </w:p>
        </w:tc>
        <w:tc>
          <w:p>
            <w:pPr>
              <w:pStyle w:val="Compact"/>
              <w:jc w:val="left"/>
            </w:pPr>
            <w:r>
              <w:t xml:space="preserve">29996</w:t>
            </w:r>
          </w:p>
        </w:tc>
        <w:tc>
          <w:p>
            <w:pPr>
              <w:pStyle w:val="Compact"/>
              <w:jc w:val="left"/>
            </w:pPr>
            <w:r>
              <w:t xml:space="preserve">Rolling 24-hour windows used to estimate the latent generative model.</w:t>
            </w:r>
          </w:p>
        </w:tc>
      </w:tr>
      <w:tr>
        <w:tc>
          <w:p>
            <w:pPr>
              <w:pStyle w:val="Compact"/>
              <w:jc w:val="left"/>
            </w:pPr>
            <w:r>
              <w:t xml:space="preserve">VAE validation windows</w:t>
            </w:r>
          </w:p>
        </w:tc>
        <w:tc>
          <w:p>
            <w:pPr>
              <w:pStyle w:val="Compact"/>
              <w:jc w:val="left"/>
            </w:pPr>
            <w:r>
              <w:t xml:space="preserve">2024-06-03 21:00:00 UTC</w:t>
            </w:r>
          </w:p>
        </w:tc>
        <w:tc>
          <w:p>
            <w:pPr>
              <w:pStyle w:val="Compact"/>
              <w:jc w:val="left"/>
            </w:pPr>
            <w:r>
              <w:t xml:space="preserve">2025-04-13 05:00:00 UTC</w:t>
            </w:r>
          </w:p>
        </w:tc>
        <w:tc>
          <w:p>
            <w:pPr>
              <w:pStyle w:val="Compact"/>
              <w:jc w:val="left"/>
            </w:pPr>
            <w:r>
              <w:t xml:space="preserve">7498</w:t>
            </w:r>
          </w:p>
        </w:tc>
        <w:tc>
          <w:p>
            <w:pPr>
              <w:pStyle w:val="Compact"/>
              <w:jc w:val="left"/>
            </w:pPr>
            <w:r>
              <w:t xml:space="preserve">Final 20% of pre-backtest rolling windows used for chronological latent-model validation.</w:t>
            </w:r>
          </w:p>
        </w:tc>
      </w:tr>
    </w:tbl>
    <w:p>
      <w:pPr>
        <w:pStyle w:val="BodyText"/>
      </w:pPr>
      <w:r>
        <w:t xml:space="preserve">The downside tail metrics used in the report follow the standard left-tail definitions:</w:t>
      </w:r>
    </w:p>
    <w:p>
      <w:pPr>
        <w:pStyle w:val="BodyText"/>
      </w:pPr>
      <m:oMathPara>
        <m:oMathParaPr>
          <m:jc m:val="center"/>
        </m:oMathParaPr>
        <m:oMath>
          <m:r>
            <m:t>C</m:t>
          </m:r>
          <m:r>
            <m:t>V</m:t>
          </m:r>
          <m:r>
            <m:t>a</m:t>
          </m:r>
          <m:sSub>
            <m:e>
              <m:r>
                <m:t>R</m:t>
              </m:r>
            </m:e>
            <m:sub>
              <m:r>
                <m:t>α</m:t>
              </m:r>
            </m:sub>
          </m:sSub>
          <m:r>
            <m:t>=</m:t>
          </m:r>
          <m:f>
            <m:fPr>
              <m:type m:val="bar"/>
            </m:fPr>
            <m:num>
              <m:r>
                <m:t>1</m:t>
              </m:r>
            </m:num>
            <m:den>
              <m:r>
                <m:t>1</m:t>
              </m:r>
              <m:r>
                <m:t>−</m:t>
              </m:r>
              <m:r>
                <m:t>α</m:t>
              </m:r>
            </m:den>
          </m:f>
          <m:nary>
            <m:naryPr>
              <m:chr m:val="∫"/>
              <m:limLoc m:val="subSup"/>
              <m:subHide m:val="0"/>
              <m:supHide m:val="0"/>
            </m:naryPr>
            <m:sub>
              <m:r>
                <m:t>α</m:t>
              </m:r>
            </m:sub>
            <m:sup>
              <m:r>
                <m:t>1</m:t>
              </m:r>
            </m:sup>
            <m:e>
              <m:r>
                <m:t>V</m:t>
              </m:r>
            </m:e>
          </m:nary>
          <m:r>
            <m:t>a</m:t>
          </m:r>
          <m:sSub>
            <m:e>
              <m:r>
                <m:t>R</m:t>
              </m:r>
            </m:e>
            <m:sub>
              <m:r>
                <m:t>u</m:t>
              </m:r>
            </m:sub>
          </m:sSub>
          <m:r>
            <m:t> </m:t>
          </m:r>
          <m:r>
            <m:t>d</m:t>
          </m:r>
          <m:r>
            <m:t>u</m:t>
          </m:r>
        </m:oMath>
      </m:oMathPara>
    </w:p>
    <w:p>
      <w:pPr>
        <w:pStyle w:val="FirstParagraph"/>
      </w:pPr>
      <w:r>
        <w:t xml:space="preserve">For unconditional coverage backtesting, the Kupiec proportion-of-failures statistic is:</w:t>
      </w:r>
    </w:p>
    <w:p>
      <w:pPr>
        <w:pStyle w:val="BodyText"/>
      </w:pPr>
      <m:oMathPara>
        <m:oMathParaPr>
          <m:jc m:val="center"/>
        </m:oMathParaPr>
        <m:oMath>
          <m:r>
            <m:t>L</m:t>
          </m:r>
          <m:sSub>
            <m:e>
              <m:r>
                <m:t>R</m:t>
              </m:r>
            </m:e>
            <m:sub>
              <m:r>
                <m:t>P</m:t>
              </m:r>
              <m:r>
                <m:t>O</m:t>
              </m:r>
              <m:r>
                <m:t>F</m:t>
              </m:r>
            </m:sub>
          </m:sSub>
          <m:r>
            <m:t>=</m:t>
          </m:r>
          <m:r>
            <m:t>−</m:t>
          </m:r>
          <m:r>
            <m:t>2</m:t>
          </m:r>
          <m:r>
            <m:rPr>
              <m:nor/>
              <m:sty m:val="p"/>
            </m:rPr>
            <m:t>ln</m:t>
          </m:r>
          <m:d>
            <m:dPr>
              <m:begChr m:val="("/>
              <m:endChr m:val=")"/>
              <m:grow/>
            </m:dPr>
            <m:e>
              <m:f>
                <m:fPr>
                  <m:type m:val="bar"/>
                </m:fPr>
                <m:num>
                  <m:r>
                    <m:t>(</m:t>
                  </m:r>
                  <m:r>
                    <m:t>1</m:t>
                  </m:r>
                  <m:r>
                    <m:t>−</m:t>
                  </m:r>
                  <m:r>
                    <m:t>α</m:t>
                  </m:r>
                  <m:sSup>
                    <m:e>
                      <m:r>
                        <m:t>)</m:t>
                      </m:r>
                    </m:e>
                    <m:sup>
                      <m:r>
                        <m:t>T</m:t>
                      </m:r>
                      <m:r>
                        <m:t>−</m:t>
                      </m:r>
                      <m:r>
                        <m:t>x</m:t>
                      </m:r>
                    </m:sup>
                  </m:sSup>
                  <m:sSup>
                    <m:e>
                      <m:r>
                        <m:t>α</m:t>
                      </m:r>
                    </m:e>
                    <m:sup>
                      <m:r>
                        <m:t>x</m:t>
                      </m:r>
                    </m:sup>
                  </m:sSup>
                </m:num>
                <m:den>
                  <m:r>
                    <m:t>(</m:t>
                  </m:r>
                  <m:r>
                    <m:t>1</m:t>
                  </m:r>
                  <m:r>
                    <m:t>−</m:t>
                  </m:r>
                  <m:acc>
                    <m:accPr>
                      <m:chr m:val="̂"/>
                    </m:accPr>
                    <m:e>
                      <m:r>
                        <m:t>p</m:t>
                      </m:r>
                    </m:e>
                  </m:acc>
                  <m:sSup>
                    <m:e>
                      <m:r>
                        <m:t>)</m:t>
                      </m:r>
                    </m:e>
                    <m:sup>
                      <m:r>
                        <m:t>T</m:t>
                      </m:r>
                      <m:r>
                        <m:t>−</m:t>
                      </m:r>
                      <m:r>
                        <m:t>x</m:t>
                      </m:r>
                    </m:sup>
                  </m:sSup>
                  <m:sSup>
                    <m:e>
                      <m:acc>
                        <m:accPr>
                          <m:chr m:val="̂"/>
                        </m:accPr>
                        <m:e>
                          <m:r>
                            <m:t>p</m:t>
                          </m:r>
                        </m:e>
                      </m:acc>
                    </m:e>
                    <m:sup>
                      <m:r>
                        <m:t>x</m:t>
                      </m:r>
                    </m:sup>
                  </m:sSup>
                </m:den>
              </m:f>
            </m:e>
          </m:d>
          <m:r>
            <m:t>,</m:t>
          </m:r>
          <m:r>
            <m:t>  </m:t>
          </m:r>
          <m:acc>
            <m:accPr>
              <m:chr m:val="̂"/>
            </m:accPr>
            <m:e>
              <m:r>
                <m:t>p</m:t>
              </m:r>
            </m:e>
          </m:acc>
          <m:r>
            <m:t>=</m:t>
          </m:r>
          <m:f>
            <m:fPr>
              <m:type m:val="bar"/>
            </m:fPr>
            <m:num>
              <m:r>
                <m:t>x</m:t>
              </m:r>
            </m:num>
            <m:den>
              <m:r>
                <m:t>T</m:t>
              </m:r>
            </m:den>
          </m:f>
        </m:oMath>
      </m:oMathPara>
    </w:p>
    <w:p>
      <w:pPr>
        <w:pStyle w:val="FirstParagraph"/>
      </w:pPr>
      <w:r>
        <w:t xml:space="preserve">where</w:t>
      </w:r>
      <w:r>
        <w:t xml:space="preserve"> </w:t>
      </w:r>
      <m:oMath>
        <m:r>
          <m:t>T</m:t>
        </m:r>
      </m:oMath>
      <w:r>
        <w:t xml:space="preserve"> </w:t>
      </w:r>
      <w:r>
        <w:t xml:space="preserve">is the number of forecasts,</w:t>
      </w:r>
      <w:r>
        <w:t xml:space="preserve"> </w:t>
      </w:r>
      <m:oMath>
        <m:r>
          <m:t>x</m:t>
        </m:r>
      </m:oMath>
      <w:r>
        <w:t xml:space="preserve"> </w:t>
      </w:r>
      <w:r>
        <w:t xml:space="preserve">is the number of VaR violations, and</w:t>
      </w:r>
      <w:r>
        <w:t xml:space="preserve"> </w:t>
      </w:r>
      <m:oMath>
        <m:acc>
          <m:accPr>
            <m:chr m:val="̂"/>
          </m:accPr>
          <m:e>
            <m:r>
              <m:t>p</m:t>
            </m:r>
          </m:e>
        </m:acc>
      </m:oMath>
      <w:r>
        <w:t xml:space="preserve"> </w:t>
      </w:r>
      <w:r>
        <w:t xml:space="preserve">is the observed violation rate. The report complements this with Christoffersen-style independence and conditional-coverage diagnostics (Kupiec, 1995; Christoffersen, 1998).</w:t>
      </w:r>
    </w:p>
    <w:p>
      <w:pPr>
        <w:pStyle w:val="Heading2"/>
      </w:pPr>
      <w:bookmarkStart w:id="29" w:name="statistical-diagnostics"/>
      <w:r>
        <w:t xml:space="preserve">Statistical Diagnostics</w:t>
      </w:r>
      <w:bookmarkEnd w:id="29"/>
    </w:p>
    <w:p>
      <w:pPr>
        <w:pStyle w:val="FirstParagraph"/>
      </w:pPr>
      <w:r>
        <w:t xml:space="preserve">The descriptive evidence rejects Gaussianity decisively. The Jarque-Bera statistic reaches 491079.15 with a near-zero p-value, while skewness is -0.207 and kurtosis is 18.955. Hourly returns range from -9.38% to 11.61%, and the ADF statistic of -30.208 rejects a unit root in the return series. Taken together, these diagnostics support heavy-tailed and conditional models rather than a thin-tailed homoskedastic baseline.</w:t>
      </w:r>
    </w:p>
    <w:tbl>
      <w:tblPr>
        <w:tblStyle w:val="Table"/>
        <w:tblW w:type="pct" w:w="5000.0"/>
        <w:tblLook w:firstRow="1"/>
      </w:tblPr>
      <w:tblGrid>
        <w:gridCol w:w="495"/>
        <w:gridCol w:w="495"/>
        <w:gridCol w:w="495"/>
        <w:gridCol w:w="495"/>
        <w:gridCol w:w="495"/>
        <w:gridCol w:w="495"/>
        <w:gridCol w:w="495"/>
        <w:gridCol w:w="495"/>
        <w:gridCol w:w="495"/>
        <w:gridCol w:w="495"/>
        <w:gridCol w:w="495"/>
        <w:gridCol w:w="495"/>
        <w:gridCol w:w="495"/>
        <w:gridCol w:w="495"/>
        <w:gridCol w:w="495"/>
        <w:gridCol w:w="495"/>
      </w:tblGrid>
      <w:tr>
        <w:trPr>
          <w:cnfStyle w:firstRow="1"/>
        </w:trPr>
        <w:tc>
          <w:tcPr>
            <w:tcBorders>
              <w:bottom w:val="single"/>
            </w:tcBorders>
            <w:vAlign w:val="bottom"/>
          </w:tcPr>
          <w:p>
            <w:pPr>
              <w:pStyle w:val="Compact"/>
              <w:jc w:val="left"/>
            </w:pPr>
            <w:r>
              <w:t xml:space="preserve">observations</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std</w:t>
            </w:r>
          </w:p>
        </w:tc>
        <w:tc>
          <w:tcPr>
            <w:tcBorders>
              <w:bottom w:val="single"/>
            </w:tcBorders>
            <w:vAlign w:val="bottom"/>
          </w:tcPr>
          <w:p>
            <w:pPr>
              <w:pStyle w:val="Compact"/>
              <w:jc w:val="left"/>
            </w:pPr>
            <w:r>
              <w:t xml:space="preserve">skewness</w:t>
            </w:r>
          </w:p>
        </w:tc>
        <w:tc>
          <w:tcPr>
            <w:tcBorders>
              <w:bottom w:val="single"/>
            </w:tcBorders>
            <w:vAlign w:val="bottom"/>
          </w:tcPr>
          <w:p>
            <w:pPr>
              <w:pStyle w:val="Compact"/>
              <w:jc w:val="left"/>
            </w:pPr>
            <w:r>
              <w:t xml:space="preserve">kurtosis</w:t>
            </w:r>
          </w:p>
        </w:tc>
        <w:tc>
          <w:tcPr>
            <w:tcBorders>
              <w:bottom w:val="single"/>
            </w:tcBorders>
            <w:vAlign w:val="bottom"/>
          </w:tcPr>
          <w:p>
            <w:pPr>
              <w:pStyle w:val="Compact"/>
              <w:jc w:val="left"/>
            </w:pPr>
            <w:r>
              <w:t xml:space="preserve">jarque_bera_stat</w:t>
            </w:r>
          </w:p>
        </w:tc>
        <w:tc>
          <w:tcPr>
            <w:tcBorders>
              <w:bottom w:val="single"/>
            </w:tcBorders>
            <w:vAlign w:val="bottom"/>
          </w:tcPr>
          <w:p>
            <w:pPr>
              <w:pStyle w:val="Compact"/>
              <w:jc w:val="left"/>
            </w:pPr>
            <w:r>
              <w:t xml:space="preserve">jarque_bera_pvalue</w:t>
            </w:r>
          </w:p>
        </w:tc>
        <w:tc>
          <w:tcPr>
            <w:tcBorders>
              <w:bottom w:val="single"/>
            </w:tcBorders>
            <w:vAlign w:val="bottom"/>
          </w:tcPr>
          <w:p>
            <w:pPr>
              <w:pStyle w:val="Compact"/>
              <w:jc w:val="left"/>
            </w:pPr>
            <w:r>
              <w:t xml:space="preserve">adf_stat</w:t>
            </w:r>
          </w:p>
        </w:tc>
        <w:tc>
          <w:tcPr>
            <w:tcBorders>
              <w:bottom w:val="single"/>
            </w:tcBorders>
            <w:vAlign w:val="bottom"/>
          </w:tcPr>
          <w:p>
            <w:pPr>
              <w:pStyle w:val="Compact"/>
              <w:jc w:val="left"/>
            </w:pPr>
            <w:r>
              <w:t xml:space="preserve">adf_pvalue</w:t>
            </w:r>
          </w:p>
        </w:tc>
        <w:tc>
          <w:tcPr>
            <w:tcBorders>
              <w:bottom w:val="single"/>
            </w:tcBorders>
            <w:vAlign w:val="bottom"/>
          </w:tcPr>
          <w:p>
            <w:pPr>
              <w:pStyle w:val="Compact"/>
              <w:jc w:val="left"/>
            </w:pPr>
            <w:r>
              <w:t xml:space="preserve">adf_critical_1pct</w:t>
            </w:r>
          </w:p>
        </w:tc>
        <w:tc>
          <w:tcPr>
            <w:tcBorders>
              <w:bottom w:val="single"/>
            </w:tcBorders>
            <w:vAlign w:val="bottom"/>
          </w:tcPr>
          <w:p>
            <w:pPr>
              <w:pStyle w:val="Compact"/>
              <w:jc w:val="left"/>
            </w:pPr>
            <w:r>
              <w:t xml:space="preserve">adf_critical_5pct</w:t>
            </w:r>
          </w:p>
        </w:tc>
        <w:tc>
          <w:tcPr>
            <w:tcBorders>
              <w:bottom w:val="single"/>
            </w:tcBorders>
            <w:vAlign w:val="bottom"/>
          </w:tcPr>
          <w:p>
            <w:pPr>
              <w:pStyle w:val="Compact"/>
              <w:jc w:val="left"/>
            </w:pPr>
            <w:r>
              <w:t xml:space="preserve">adf_critical_10pct</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p01</w:t>
            </w:r>
          </w:p>
        </w:tc>
        <w:tc>
          <w:tcPr>
            <w:tcBorders>
              <w:bottom w:val="single"/>
            </w:tcBorders>
            <w:vAlign w:val="bottom"/>
          </w:tcPr>
          <w:p>
            <w:pPr>
              <w:pStyle w:val="Compact"/>
              <w:jc w:val="left"/>
            </w:pPr>
            <w:r>
              <w:t xml:space="preserve">p99</w:t>
            </w:r>
          </w:p>
        </w:tc>
      </w:tr>
      <w:tr>
        <w:tc>
          <w:p>
            <w:pPr>
              <w:pStyle w:val="Compact"/>
              <w:jc w:val="left"/>
            </w:pPr>
            <w:r>
              <w:t xml:space="preserve">46278</w:t>
            </w:r>
          </w:p>
        </w:tc>
        <w:tc>
          <w:p>
            <w:pPr>
              <w:pStyle w:val="Compact"/>
              <w:jc w:val="left"/>
            </w:pPr>
            <w:r>
              <w:t xml:space="preserve">0</w:t>
            </w:r>
          </w:p>
        </w:tc>
        <w:tc>
          <w:p>
            <w:pPr>
              <w:pStyle w:val="Compact"/>
              <w:jc w:val="left"/>
            </w:pPr>
            <w:r>
              <w:t xml:space="preserve">0.0064</w:t>
            </w:r>
          </w:p>
        </w:tc>
        <w:tc>
          <w:p>
            <w:pPr>
              <w:pStyle w:val="Compact"/>
              <w:jc w:val="left"/>
            </w:pPr>
            <w:r>
              <w:t xml:space="preserve">-0.2066</w:t>
            </w:r>
          </w:p>
        </w:tc>
        <w:tc>
          <w:p>
            <w:pPr>
              <w:pStyle w:val="Compact"/>
              <w:jc w:val="left"/>
            </w:pPr>
            <w:r>
              <w:t xml:space="preserve">18.9551</w:t>
            </w:r>
          </w:p>
        </w:tc>
        <w:tc>
          <w:p>
            <w:pPr>
              <w:pStyle w:val="Compact"/>
              <w:jc w:val="left"/>
            </w:pPr>
            <w:r>
              <w:t xml:space="preserve">491079.1521</w:t>
            </w:r>
          </w:p>
        </w:tc>
        <w:tc>
          <w:p>
            <w:pPr>
              <w:pStyle w:val="Compact"/>
              <w:jc w:val="left"/>
            </w:pPr>
            <w:r>
              <w:t xml:space="preserve">&lt;0.0001</w:t>
            </w:r>
          </w:p>
        </w:tc>
        <w:tc>
          <w:p>
            <w:pPr>
              <w:pStyle w:val="Compact"/>
              <w:jc w:val="left"/>
            </w:pPr>
            <w:r>
              <w:t xml:space="preserve">-30.2084</w:t>
            </w:r>
          </w:p>
        </w:tc>
        <w:tc>
          <w:p>
            <w:pPr>
              <w:pStyle w:val="Compact"/>
              <w:jc w:val="left"/>
            </w:pPr>
            <w:r>
              <w:t xml:space="preserve">&lt;0.0001</w:t>
            </w:r>
          </w:p>
        </w:tc>
        <w:tc>
          <w:p>
            <w:pPr>
              <w:pStyle w:val="Compact"/>
              <w:jc w:val="left"/>
            </w:pPr>
            <w:r>
              <w:t xml:space="preserve">-3.4305</w:t>
            </w:r>
          </w:p>
        </w:tc>
        <w:tc>
          <w:p>
            <w:pPr>
              <w:pStyle w:val="Compact"/>
              <w:jc w:val="left"/>
            </w:pPr>
            <w:r>
              <w:t xml:space="preserve">-2.8616</w:t>
            </w:r>
          </w:p>
        </w:tc>
        <w:tc>
          <w:p>
            <w:pPr>
              <w:pStyle w:val="Compact"/>
              <w:jc w:val="left"/>
            </w:pPr>
            <w:r>
              <w:t xml:space="preserve">-2.5668</w:t>
            </w:r>
          </w:p>
        </w:tc>
        <w:tc>
          <w:p>
            <w:pPr>
              <w:pStyle w:val="Compact"/>
              <w:jc w:val="left"/>
            </w:pPr>
            <w:r>
              <w:t xml:space="preserve">-0.0938</w:t>
            </w:r>
          </w:p>
        </w:tc>
        <w:tc>
          <w:p>
            <w:pPr>
              <w:pStyle w:val="Compact"/>
              <w:jc w:val="left"/>
            </w:pPr>
            <w:r>
              <w:t xml:space="preserve">0.1161</w:t>
            </w:r>
          </w:p>
        </w:tc>
        <w:tc>
          <w:p>
            <w:pPr>
              <w:pStyle w:val="Compact"/>
              <w:jc w:val="left"/>
            </w:pPr>
            <w:r>
              <w:t xml:space="preserve">-0.0193</w:t>
            </w:r>
          </w:p>
        </w:tc>
        <w:tc>
          <w:p>
            <w:pPr>
              <w:pStyle w:val="Compact"/>
              <w:jc w:val="left"/>
            </w:pPr>
            <w:r>
              <w:t xml:space="preserve">0.0186</w:t>
            </w:r>
          </w:p>
        </w:tc>
      </w:tr>
    </w:tbl>
    <w:p>
      <w:pPr>
        <w:pStyle w:val="CaptionedFigure"/>
      </w:pPr>
      <w:r>
        <w:drawing>
          <wp:inline>
            <wp:extent cx="5334000" cy="2667000"/>
            <wp:effectExtent b="0" l="0" r="0" t="0"/>
            <wp:docPr descr="Return distribution" title="" id="1" name="Picture"/>
            <a:graphic>
              <a:graphicData uri="http://schemas.openxmlformats.org/drawingml/2006/picture">
                <pic:pic>
                  <pic:nvPicPr>
                    <pic:cNvPr descr="figures/return_distribution.png" id="0"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Return distribution</w:t>
      </w:r>
    </w:p>
    <w:p>
      <w:pPr>
        <w:pStyle w:val="CaptionedFigure"/>
      </w:pPr>
      <w:r>
        <w:drawing>
          <wp:inline>
            <wp:extent cx="5334000" cy="2286000"/>
            <wp:effectExtent b="0" l="0" r="0" t="0"/>
            <wp:docPr descr="Distribution diagnostics" title="" id="1" name="Picture"/>
            <a:graphic>
              <a:graphicData uri="http://schemas.openxmlformats.org/drawingml/2006/picture">
                <pic:pic>
                  <pic:nvPicPr>
                    <pic:cNvPr descr="figures/distribution_diagnostics.png" id="0" name="Picture"/>
                    <pic:cNvPicPr>
                      <a:picLocks noChangeArrowheads="1" noChangeAspect="1"/>
                    </pic:cNvPicPr>
                  </pic:nvPicPr>
                  <pic:blipFill>
                    <a:blip r:embed="rId31"/>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Distribution diagnostics</w:t>
      </w:r>
    </w:p>
    <w:p>
      <w:pPr>
        <w:pStyle w:val="Heading2"/>
      </w:pPr>
      <w:bookmarkStart w:id="32" w:name="model-results"/>
      <w:r>
        <w:t xml:space="preserve">Model Results</w:t>
      </w:r>
      <w:bookmarkEnd w:id="32"/>
    </w:p>
    <w:p>
      <w:pPr>
        <w:pStyle w:val="FirstParagraph"/>
      </w:pPr>
      <w:r>
        <w:t xml:space="preserve">Over the full sample, Bitcoin delivered a cumulative price change of 144.96%. In the current forecast snapshot, the one-hour VaR rankings differ materially by methodology, with the most conservative 99% estimate coming from Jump-diffusion MC at 1.63%. The Gaussian benchmark currently reports a one-hour VaR loss of 1.31%, versus 1.47% for the Student-t benchmark estimated on the same rolling history. The Student-t model remains the most interpretable heavy-tail baseline, the jump-diffusion engine provides the most stress-aware structural scenarios, and the LSTM contributes the most explicitly conditional one-step signal. Because the recurrent model is estimated as a one-step conditional forecaster, the 24-hour comparison table includes only models that directly produce multi-period distributions through aggregation or simulation.</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horizon_hours</w:t>
            </w:r>
          </w:p>
        </w:tc>
        <w:tc>
          <w:tcPr>
            <w:tcBorders>
              <w:bottom w:val="single"/>
            </w:tcBorders>
            <w:vAlign w:val="bottom"/>
          </w:tcPr>
          <w:p>
            <w:pPr>
              <w:pStyle w:val="Compact"/>
              <w:jc w:val="left"/>
            </w:pPr>
            <w:r>
              <w:t xml:space="preserve">VaR_return</w:t>
            </w:r>
          </w:p>
        </w:tc>
        <w:tc>
          <w:tcPr>
            <w:tcBorders>
              <w:bottom w:val="single"/>
            </w:tcBorders>
            <w:vAlign w:val="bottom"/>
          </w:tcPr>
          <w:p>
            <w:pPr>
              <w:pStyle w:val="Compact"/>
              <w:jc w:val="left"/>
            </w:pPr>
            <w:r>
              <w:t xml:space="preserve">CVaR_return</w:t>
            </w:r>
          </w:p>
        </w:tc>
        <w:tc>
          <w:tcPr>
            <w:tcBorders>
              <w:bottom w:val="single"/>
            </w:tcBorders>
            <w:vAlign w:val="bottom"/>
          </w:tcPr>
          <w:p>
            <w:pPr>
              <w:pStyle w:val="Compact"/>
              <w:jc w:val="left"/>
            </w:pPr>
            <w:r>
              <w:t xml:space="preserve">VaR_loss</w:t>
            </w:r>
          </w:p>
        </w:tc>
        <w:tc>
          <w:tcPr>
            <w:tcBorders>
              <w:bottom w:val="single"/>
            </w:tcBorders>
            <w:vAlign w:val="bottom"/>
          </w:tcPr>
          <w:p>
            <w:pPr>
              <w:pStyle w:val="Compact"/>
              <w:jc w:val="left"/>
            </w:pPr>
            <w:r>
              <w:t xml:space="preserve">CVaR_loss</w:t>
            </w:r>
          </w:p>
        </w:tc>
        <w:tc>
          <w:tcPr>
            <w:tcBorders>
              <w:bottom w:val="single"/>
            </w:tcBorders>
            <w:vAlign w:val="bottom"/>
          </w:tcPr>
          <w:p>
            <w:pPr>
              <w:pStyle w:val="Compact"/>
              <w:jc w:val="left"/>
            </w:pPr>
            <w:r>
              <w:t xml:space="preserve">mean_return</w:t>
            </w:r>
          </w:p>
        </w:tc>
        <w:tc>
          <w:tcPr>
            <w:tcBorders>
              <w:bottom w:val="single"/>
            </w:tcBorders>
            <w:vAlign w:val="bottom"/>
          </w:tcPr>
          <w:p>
            <w:pPr>
              <w:pStyle w:val="Compact"/>
              <w:jc w:val="left"/>
            </w:pPr>
            <w:r>
              <w:t xml:space="preserve">volatility</w:t>
            </w:r>
          </w:p>
        </w:tc>
      </w:tr>
      <w:tr>
        <w:tc>
          <w:p>
            <w:pPr>
              <w:pStyle w:val="Compact"/>
              <w:jc w:val="left"/>
            </w:pPr>
            <w:r>
              <w:t xml:space="preserve">Gaussian VaR</w:t>
            </w:r>
          </w:p>
        </w:tc>
        <w:tc>
          <w:p>
            <w:pPr>
              <w:pStyle w:val="Compact"/>
              <w:jc w:val="left"/>
            </w:pPr>
            <w:r>
              <w:t xml:space="preserve">1</w:t>
            </w:r>
          </w:p>
        </w:tc>
        <w:tc>
          <w:p>
            <w:pPr>
              <w:pStyle w:val="Compact"/>
              <w:jc w:val="left"/>
            </w:pPr>
            <w:r>
              <w:t xml:space="preserve">-0.0131</w:t>
            </w:r>
          </w:p>
        </w:tc>
        <w:tc>
          <w:p>
            <w:pPr>
              <w:pStyle w:val="Compact"/>
              <w:jc w:val="left"/>
            </w:pPr>
            <w:r>
              <w:t xml:space="preserve">-0.015</w:t>
            </w:r>
          </w:p>
        </w:tc>
        <w:tc>
          <w:p>
            <w:pPr>
              <w:pStyle w:val="Compact"/>
              <w:jc w:val="left"/>
            </w:pPr>
            <w:r>
              <w:t xml:space="preserve">0.0131</w:t>
            </w:r>
          </w:p>
        </w:tc>
        <w:tc>
          <w:p>
            <w:pPr>
              <w:pStyle w:val="Compact"/>
              <w:jc w:val="left"/>
            </w:pPr>
            <w:r>
              <w:t xml:space="preserve">0.015</w:t>
            </w:r>
          </w:p>
        </w:tc>
        <w:tc>
          <w:p>
            <w:pPr>
              <w:pStyle w:val="Compact"/>
              <w:jc w:val="left"/>
            </w:pPr>
            <w:r>
              <w:t xml:space="preserve">-0.0001</w:t>
            </w:r>
          </w:p>
        </w:tc>
        <w:tc>
          <w:p>
            <w:pPr>
              <w:pStyle w:val="Compact"/>
              <w:jc w:val="left"/>
            </w:pPr>
            <w:r>
              <w:t xml:space="preserve">0.0056</w:t>
            </w:r>
          </w:p>
        </w:tc>
      </w:tr>
      <w:tr>
        <w:tc>
          <w:p>
            <w:pPr>
              <w:pStyle w:val="Compact"/>
              <w:jc w:val="left"/>
            </w:pPr>
            <w:r>
              <w:t xml:space="preserve">Jump-diffusion MC</w:t>
            </w:r>
          </w:p>
        </w:tc>
        <w:tc>
          <w:p>
            <w:pPr>
              <w:pStyle w:val="Compact"/>
              <w:jc w:val="left"/>
            </w:pPr>
            <w:r>
              <w:t xml:space="preserve">1</w:t>
            </w:r>
          </w:p>
        </w:tc>
        <w:tc>
          <w:p>
            <w:pPr>
              <w:pStyle w:val="Compact"/>
              <w:jc w:val="left"/>
            </w:pPr>
            <w:r>
              <w:t xml:space="preserve">-0.0163</w:t>
            </w:r>
          </w:p>
        </w:tc>
        <w:tc>
          <w:p>
            <w:pPr>
              <w:pStyle w:val="Compact"/>
              <w:jc w:val="left"/>
            </w:pPr>
            <w:r>
              <w:t xml:space="preserve">-0.0281</w:t>
            </w:r>
          </w:p>
        </w:tc>
        <w:tc>
          <w:p>
            <w:pPr>
              <w:pStyle w:val="Compact"/>
              <w:jc w:val="left"/>
            </w:pPr>
            <w:r>
              <w:t xml:space="preserve">0.0163</w:t>
            </w:r>
          </w:p>
        </w:tc>
        <w:tc>
          <w:p>
            <w:pPr>
              <w:pStyle w:val="Compact"/>
              <w:jc w:val="left"/>
            </w:pPr>
            <w:r>
              <w:t xml:space="preserve">0.0281</w:t>
            </w:r>
          </w:p>
        </w:tc>
        <w:tc>
          <w:p>
            <w:pPr>
              <w:pStyle w:val="Compact"/>
              <w:jc w:val="left"/>
            </w:pPr>
            <w:r>
              <w:t xml:space="preserve">-0.0003</w:t>
            </w:r>
          </w:p>
        </w:tc>
        <w:tc>
          <w:p>
            <w:pPr>
              <w:pStyle w:val="Compact"/>
              <w:jc w:val="left"/>
            </w:pPr>
            <w:r>
              <w:t xml:space="preserve">0.0066</w:t>
            </w:r>
          </w:p>
        </w:tc>
      </w:tr>
      <w:tr>
        <w:tc>
          <w:p>
            <w:pPr>
              <w:pStyle w:val="Compact"/>
              <w:jc w:val="left"/>
            </w:pPr>
            <w:r>
              <w:t xml:space="preserve">LSTM</w:t>
            </w:r>
          </w:p>
        </w:tc>
        <w:tc>
          <w:p>
            <w:pPr>
              <w:pStyle w:val="Compact"/>
              <w:jc w:val="left"/>
            </w:pPr>
            <w:r>
              <w:t xml:space="preserve">1</w:t>
            </w:r>
          </w:p>
        </w:tc>
        <w:tc>
          <w:p>
            <w:pPr>
              <w:pStyle w:val="Compact"/>
              <w:jc w:val="left"/>
            </w:pPr>
            <w:r>
              <w:t xml:space="preserve">-0.0116</w:t>
            </w:r>
          </w:p>
        </w:tc>
        <w:tc>
          <w:p>
            <w:pPr>
              <w:pStyle w:val="Compact"/>
              <w:jc w:val="left"/>
            </w:pPr>
            <w:r>
              <w:t xml:space="preserve">-0.0153</w:t>
            </w:r>
          </w:p>
        </w:tc>
        <w:tc>
          <w:p>
            <w:pPr>
              <w:pStyle w:val="Compact"/>
              <w:jc w:val="left"/>
            </w:pPr>
            <w:r>
              <w:t xml:space="preserve">0.0116</w:t>
            </w:r>
          </w:p>
        </w:tc>
        <w:tc>
          <w:p>
            <w:pPr>
              <w:pStyle w:val="Compact"/>
              <w:jc w:val="left"/>
            </w:pPr>
            <w:r>
              <w:t xml:space="preserve">0.0153</w:t>
            </w:r>
          </w:p>
        </w:tc>
        <w:tc>
          <w:p>
            <w:pPr>
              <w:pStyle w:val="Compact"/>
              <w:jc w:val="left"/>
            </w:pPr>
            <w:r>
              <w:t xml:space="preserve">-0.0009</w:t>
            </w:r>
          </w:p>
        </w:tc>
        <w:tc>
          <w:p>
            <w:pPr>
              <w:pStyle w:val="Compact"/>
              <w:jc w:val="left"/>
            </w:pPr>
            <w:r>
              <w:t xml:space="preserve">0.0043</w:t>
            </w:r>
          </w:p>
        </w:tc>
      </w:tr>
      <w:tr>
        <w:tc>
          <w:p>
            <w:pPr>
              <w:pStyle w:val="Compact"/>
              <w:jc w:val="left"/>
            </w:pPr>
            <w:r>
              <w:t xml:space="preserve">Student-t param.</w:t>
            </w:r>
          </w:p>
        </w:tc>
        <w:tc>
          <w:p>
            <w:pPr>
              <w:pStyle w:val="Compact"/>
              <w:jc w:val="left"/>
            </w:pPr>
            <w:r>
              <w:t xml:space="preserve">1</w:t>
            </w:r>
          </w:p>
        </w:tc>
        <w:tc>
          <w:p>
            <w:pPr>
              <w:pStyle w:val="Compact"/>
              <w:jc w:val="left"/>
            </w:pPr>
            <w:r>
              <w:t xml:space="preserve">-0.0147</w:t>
            </w:r>
          </w:p>
        </w:tc>
        <w:tc>
          <w:p>
            <w:pPr>
              <w:pStyle w:val="Compact"/>
              <w:jc w:val="left"/>
            </w:pPr>
            <w:r>
              <w:t xml:space="preserve">-0.0194</w:t>
            </w:r>
          </w:p>
        </w:tc>
        <w:tc>
          <w:p>
            <w:pPr>
              <w:pStyle w:val="Compact"/>
              <w:jc w:val="left"/>
            </w:pPr>
            <w:r>
              <w:t xml:space="preserve">0.0147</w:t>
            </w:r>
          </w:p>
        </w:tc>
        <w:tc>
          <w:p>
            <w:pPr>
              <w:pStyle w:val="Compact"/>
              <w:jc w:val="left"/>
            </w:pPr>
            <w:r>
              <w:t xml:space="preserve">0.0194</w:t>
            </w:r>
          </w:p>
        </w:tc>
        <w:tc>
          <w:p>
            <w:pPr>
              <w:pStyle w:val="Compact"/>
              <w:jc w:val="left"/>
            </w:pPr>
            <w:r>
              <w:t xml:space="preserve">-0.0001</w:t>
            </w:r>
          </w:p>
        </w:tc>
        <w:tc>
          <w:p>
            <w:pPr>
              <w:pStyle w:val="Compact"/>
              <w:jc w:val="left"/>
            </w:pPr>
            <w:r>
              <w:t xml:space="preserve">0.0043</w:t>
            </w:r>
          </w:p>
        </w:tc>
      </w:tr>
      <w:tr>
        <w:tc>
          <w:p>
            <w:pPr>
              <w:pStyle w:val="Compact"/>
              <w:jc w:val="left"/>
            </w:pPr>
            <w:r>
              <w:t xml:space="preserve">VAE</w:t>
            </w:r>
          </w:p>
        </w:tc>
        <w:tc>
          <w:p>
            <w:pPr>
              <w:pStyle w:val="Compact"/>
              <w:jc w:val="left"/>
            </w:pPr>
            <w:r>
              <w:t xml:space="preserve">1</w:t>
            </w:r>
          </w:p>
        </w:tc>
        <w:tc>
          <w:p>
            <w:pPr>
              <w:pStyle w:val="Compact"/>
              <w:jc w:val="left"/>
            </w:pPr>
            <w:r>
              <w:t xml:space="preserve">-0.0117</w:t>
            </w:r>
          </w:p>
        </w:tc>
        <w:tc>
          <w:p>
            <w:pPr>
              <w:pStyle w:val="Compact"/>
              <w:jc w:val="left"/>
            </w:pPr>
            <w:r>
              <w:t xml:space="preserve">-0.0144</w:t>
            </w:r>
          </w:p>
        </w:tc>
        <w:tc>
          <w:p>
            <w:pPr>
              <w:pStyle w:val="Compact"/>
              <w:jc w:val="left"/>
            </w:pPr>
            <w:r>
              <w:t xml:space="preserve">0.0117</w:t>
            </w:r>
          </w:p>
        </w:tc>
        <w:tc>
          <w:p>
            <w:pPr>
              <w:pStyle w:val="Compact"/>
              <w:jc w:val="left"/>
            </w:pPr>
            <w:r>
              <w:t xml:space="preserve">0.0144</w:t>
            </w:r>
          </w:p>
        </w:tc>
        <w:tc>
          <w:p>
            <w:pPr>
              <w:pStyle w:val="Compact"/>
              <w:jc w:val="left"/>
            </w:pPr>
            <w:r>
              <w:t xml:space="preserve">0</w:t>
            </w:r>
          </w:p>
        </w:tc>
        <w:tc>
          <w:p>
            <w:pPr>
              <w:pStyle w:val="Compact"/>
              <w:jc w:val="left"/>
            </w:pPr>
            <w:r>
              <w:t xml:space="preserve">0.0042</w:t>
            </w:r>
          </w:p>
        </w:tc>
      </w:tr>
      <w:tr>
        <w:tc>
          <w:p>
            <w:pPr>
              <w:pStyle w:val="Compact"/>
              <w:jc w:val="left"/>
            </w:pPr>
            <w:r>
              <w:t xml:space="preserve">Gaussian VaR</w:t>
            </w:r>
          </w:p>
        </w:tc>
        <w:tc>
          <w:p>
            <w:pPr>
              <w:pStyle w:val="Compact"/>
              <w:jc w:val="left"/>
            </w:pPr>
            <w:r>
              <w:t xml:space="preserve">24</w:t>
            </w:r>
          </w:p>
        </w:tc>
        <w:tc>
          <w:p>
            <w:pPr>
              <w:pStyle w:val="Compact"/>
              <w:jc w:val="left"/>
            </w:pPr>
            <w:r>
              <w:t xml:space="preserve">-0.0665</w:t>
            </w:r>
          </w:p>
        </w:tc>
        <w:tc>
          <w:p>
            <w:pPr>
              <w:pStyle w:val="Compact"/>
              <w:jc w:val="left"/>
            </w:pPr>
            <w:r>
              <w:t xml:space="preserve">-0.0757</w:t>
            </w:r>
          </w:p>
        </w:tc>
        <w:tc>
          <w:p>
            <w:pPr>
              <w:pStyle w:val="Compact"/>
              <w:jc w:val="left"/>
            </w:pPr>
            <w:r>
              <w:t xml:space="preserve">0.0665</w:t>
            </w:r>
          </w:p>
        </w:tc>
        <w:tc>
          <w:p>
            <w:pPr>
              <w:pStyle w:val="Compact"/>
              <w:jc w:val="left"/>
            </w:pPr>
            <w:r>
              <w:t xml:space="preserve">0.0757</w:t>
            </w:r>
          </w:p>
        </w:tc>
        <w:tc>
          <w:p>
            <w:pPr>
              <w:pStyle w:val="Compact"/>
              <w:jc w:val="left"/>
            </w:pPr>
            <w:r>
              <w:t xml:space="preserve">-0.0029</w:t>
            </w:r>
          </w:p>
        </w:tc>
        <w:tc>
          <w:p>
            <w:pPr>
              <w:pStyle w:val="Compact"/>
              <w:jc w:val="left"/>
            </w:pPr>
            <w:r>
              <w:t xml:space="preserve">0.0273</w:t>
            </w:r>
          </w:p>
        </w:tc>
      </w:tr>
      <w:tr>
        <w:tc>
          <w:p>
            <w:pPr>
              <w:pStyle w:val="Compact"/>
              <w:jc w:val="left"/>
            </w:pPr>
            <w:r>
              <w:t xml:space="preserve">Jump-diffusion MC</w:t>
            </w:r>
          </w:p>
        </w:tc>
        <w:tc>
          <w:p>
            <w:pPr>
              <w:pStyle w:val="Compact"/>
              <w:jc w:val="left"/>
            </w:pPr>
            <w:r>
              <w:t xml:space="preserve">24</w:t>
            </w:r>
          </w:p>
        </w:tc>
        <w:tc>
          <w:p>
            <w:pPr>
              <w:pStyle w:val="Compact"/>
              <w:jc w:val="left"/>
            </w:pPr>
            <w:r>
              <w:t xml:space="preserve">-0.0829</w:t>
            </w:r>
          </w:p>
        </w:tc>
        <w:tc>
          <w:p>
            <w:pPr>
              <w:pStyle w:val="Compact"/>
              <w:jc w:val="left"/>
            </w:pPr>
            <w:r>
              <w:t xml:space="preserve">-0.096</w:t>
            </w:r>
          </w:p>
        </w:tc>
        <w:tc>
          <w:p>
            <w:pPr>
              <w:pStyle w:val="Compact"/>
              <w:jc w:val="left"/>
            </w:pPr>
            <w:r>
              <w:t xml:space="preserve">0.0829</w:t>
            </w:r>
          </w:p>
        </w:tc>
        <w:tc>
          <w:p>
            <w:pPr>
              <w:pStyle w:val="Compact"/>
              <w:jc w:val="left"/>
            </w:pPr>
            <w:r>
              <w:t xml:space="preserve">0.096</w:t>
            </w:r>
          </w:p>
        </w:tc>
        <w:tc>
          <w:p>
            <w:pPr>
              <w:pStyle w:val="Compact"/>
              <w:jc w:val="left"/>
            </w:pPr>
            <w:r>
              <w:t xml:space="preserve">-0.0046</w:t>
            </w:r>
          </w:p>
        </w:tc>
        <w:tc>
          <w:p>
            <w:pPr>
              <w:pStyle w:val="Compact"/>
              <w:jc w:val="left"/>
            </w:pPr>
            <w:r>
              <w:t xml:space="preserve">0.0323</w:t>
            </w:r>
          </w:p>
        </w:tc>
      </w:tr>
      <w:tr>
        <w:tc>
          <w:p>
            <w:pPr>
              <w:pStyle w:val="Compact"/>
              <w:jc w:val="left"/>
            </w:pPr>
            <w:r>
              <w:t xml:space="preserve">Student-t param.</w:t>
            </w:r>
          </w:p>
        </w:tc>
        <w:tc>
          <w:p>
            <w:pPr>
              <w:pStyle w:val="Compact"/>
              <w:jc w:val="left"/>
            </w:pPr>
            <w:r>
              <w:t xml:space="preserve">24</w:t>
            </w:r>
          </w:p>
        </w:tc>
        <w:tc>
          <w:p>
            <w:pPr>
              <w:pStyle w:val="Compact"/>
              <w:jc w:val="left"/>
            </w:pPr>
            <w:r>
              <w:t xml:space="preserve">-0.0672</w:t>
            </w:r>
          </w:p>
        </w:tc>
        <w:tc>
          <w:p>
            <w:pPr>
              <w:pStyle w:val="Compact"/>
              <w:jc w:val="left"/>
            </w:pPr>
            <w:r>
              <w:t xml:space="preserve">-0.0779</w:t>
            </w:r>
          </w:p>
        </w:tc>
        <w:tc>
          <w:p>
            <w:pPr>
              <w:pStyle w:val="Compact"/>
              <w:jc w:val="left"/>
            </w:pPr>
            <w:r>
              <w:t xml:space="preserve">0.0672</w:t>
            </w:r>
          </w:p>
        </w:tc>
        <w:tc>
          <w:p>
            <w:pPr>
              <w:pStyle w:val="Compact"/>
              <w:jc w:val="left"/>
            </w:pPr>
            <w:r>
              <w:t xml:space="preserve">0.0779</w:t>
            </w:r>
          </w:p>
        </w:tc>
        <w:tc>
          <w:p>
            <w:pPr>
              <w:pStyle w:val="Compact"/>
              <w:jc w:val="left"/>
            </w:pPr>
            <w:r>
              <w:t xml:space="preserve">-0.0029</w:t>
            </w:r>
          </w:p>
        </w:tc>
        <w:tc>
          <w:p>
            <w:pPr>
              <w:pStyle w:val="Compact"/>
              <w:jc w:val="left"/>
            </w:pPr>
            <w:r>
              <w:t xml:space="preserve">0.0272</w:t>
            </w:r>
          </w:p>
        </w:tc>
      </w:tr>
      <w:tr>
        <w:tc>
          <w:p>
            <w:pPr>
              <w:pStyle w:val="Compact"/>
              <w:jc w:val="left"/>
            </w:pPr>
            <w:r>
              <w:t xml:space="preserve">VAE</w:t>
            </w:r>
          </w:p>
        </w:tc>
        <w:tc>
          <w:p>
            <w:pPr>
              <w:pStyle w:val="Compact"/>
              <w:jc w:val="left"/>
            </w:pPr>
            <w:r>
              <w:t xml:space="preserve">24</w:t>
            </w:r>
          </w:p>
        </w:tc>
        <w:tc>
          <w:p>
            <w:pPr>
              <w:pStyle w:val="Compact"/>
              <w:jc w:val="left"/>
            </w:pPr>
            <w:r>
              <w:t xml:space="preserve">-0.0419</w:t>
            </w:r>
          </w:p>
        </w:tc>
        <w:tc>
          <w:p>
            <w:pPr>
              <w:pStyle w:val="Compact"/>
              <w:jc w:val="left"/>
            </w:pPr>
            <w:r>
              <w:t xml:space="preserve">-0.0486</w:t>
            </w:r>
          </w:p>
        </w:tc>
        <w:tc>
          <w:p>
            <w:pPr>
              <w:pStyle w:val="Compact"/>
              <w:jc w:val="left"/>
            </w:pPr>
            <w:r>
              <w:t xml:space="preserve">0.0419</w:t>
            </w:r>
          </w:p>
        </w:tc>
        <w:tc>
          <w:p>
            <w:pPr>
              <w:pStyle w:val="Compact"/>
              <w:jc w:val="left"/>
            </w:pPr>
            <w:r>
              <w:t xml:space="preserve">0.0486</w:t>
            </w:r>
          </w:p>
        </w:tc>
        <w:tc>
          <w:p>
            <w:pPr>
              <w:pStyle w:val="Compact"/>
              <w:jc w:val="left"/>
            </w:pPr>
            <w:r>
              <w:t xml:space="preserve">-0.0015</w:t>
            </w:r>
          </w:p>
        </w:tc>
        <w:tc>
          <w:p>
            <w:pPr>
              <w:pStyle w:val="Compact"/>
              <w:jc w:val="left"/>
            </w:pPr>
            <w:r>
              <w:t xml:space="preserve">0.0174</w:t>
            </w:r>
          </w:p>
        </w:tc>
      </w:tr>
    </w:tbl>
    <w:p>
      <w:pPr>
        <w:pStyle w:val="CaptionedFigure"/>
      </w:pPr>
      <w:r>
        <w:drawing>
          <wp:inline>
            <wp:extent cx="5334000" cy="2667000"/>
            <wp:effectExtent b="0" l="0" r="0" t="0"/>
            <wp:docPr descr="Monte Carlo paths" title="" id="1" name="Picture"/>
            <a:graphic>
              <a:graphicData uri="http://schemas.openxmlformats.org/drawingml/2006/picture">
                <pic:pic>
                  <pic:nvPicPr>
                    <pic:cNvPr descr="figures/monte_carlo_paths.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Monte Carlo paths</w:t>
      </w:r>
    </w:p>
    <w:p>
      <w:pPr>
        <w:pStyle w:val="Heading2"/>
      </w:pPr>
      <w:bookmarkStart w:id="34" w:name="sensitivity-analysis"/>
      <w:r>
        <w:t xml:space="preserve">Sensitivity Analysis</w:t>
      </w:r>
      <w:bookmarkEnd w:id="34"/>
    </w:p>
    <w:p>
      <w:pPr>
        <w:pStyle w:val="FirstParagraph"/>
      </w:pPr>
      <w:r>
        <w:t xml:space="preserve">Sensitivity analysis confirms the expected widening of downside risk as confidence moves from 95% to 99%. At 99%, the largest one-hour VaR loss remains 1.63%. The Gaussian row in the confidence table provides the thin-tailed benchmark, the Student-t parameter sweep shows that lower degrees of freedom amplify tail losses in a nonlinear way, and the LSTM look-back sweep shows a trade-off between responsiveness and stability.</w:t>
      </w:r>
    </w:p>
    <w:p>
      <w:pPr>
        <w:pStyle w:val="Heading3"/>
      </w:pPr>
      <w:bookmarkStart w:id="35" w:name="confidence-level-comparison"/>
      <w:r>
        <w:t xml:space="preserve">Confidence-Level Comparison</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confidence_level_pct</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VaR_loss</w:t>
            </w:r>
          </w:p>
        </w:tc>
        <w:tc>
          <w:tcPr>
            <w:tcBorders>
              <w:bottom w:val="single"/>
            </w:tcBorders>
            <w:vAlign w:val="bottom"/>
          </w:tcPr>
          <w:p>
            <w:pPr>
              <w:pStyle w:val="Compact"/>
              <w:jc w:val="left"/>
            </w:pPr>
            <w:r>
              <w:t xml:space="preserve">CVaR_loss</w:t>
            </w:r>
          </w:p>
        </w:tc>
        <w:tc>
          <w:tcPr>
            <w:tcBorders>
              <w:bottom w:val="single"/>
            </w:tcBorders>
            <w:vAlign w:val="bottom"/>
          </w:tcPr>
          <w:p>
            <w:pPr>
              <w:pStyle w:val="Compact"/>
              <w:jc w:val="left"/>
            </w:pPr>
            <w:r>
              <w:t xml:space="preserve">volatility</w:t>
            </w:r>
          </w:p>
        </w:tc>
      </w:tr>
      <w:tr>
        <w:tc>
          <w:p>
            <w:pPr>
              <w:pStyle w:val="Compact"/>
              <w:jc w:val="left"/>
            </w:pPr>
            <w:r>
              <w:t xml:space="preserve">95</w:t>
            </w:r>
          </w:p>
        </w:tc>
        <w:tc>
          <w:p>
            <w:pPr>
              <w:pStyle w:val="Compact"/>
              <w:jc w:val="left"/>
            </w:pPr>
            <w:r>
              <w:t xml:space="preserve">Jump-diffusion MC</w:t>
            </w:r>
          </w:p>
        </w:tc>
        <w:tc>
          <w:p>
            <w:pPr>
              <w:pStyle w:val="Compact"/>
              <w:jc w:val="left"/>
            </w:pPr>
            <w:r>
              <w:t xml:space="preserve">0.0097</w:t>
            </w:r>
          </w:p>
        </w:tc>
        <w:tc>
          <w:p>
            <w:pPr>
              <w:pStyle w:val="Compact"/>
              <w:jc w:val="left"/>
            </w:pPr>
            <w:r>
              <w:t xml:space="preserve">0.0143</w:t>
            </w:r>
          </w:p>
        </w:tc>
        <w:tc>
          <w:p>
            <w:pPr>
              <w:pStyle w:val="Compact"/>
              <w:jc w:val="left"/>
            </w:pPr>
            <w:r>
              <w:t xml:space="preserve">0.0067</w:t>
            </w:r>
          </w:p>
        </w:tc>
      </w:tr>
      <w:tr>
        <w:tc>
          <w:p>
            <w:pPr>
              <w:pStyle w:val="Compact"/>
              <w:jc w:val="left"/>
            </w:pPr>
            <w:r>
              <w:t xml:space="preserve">95</w:t>
            </w:r>
          </w:p>
        </w:tc>
        <w:tc>
          <w:p>
            <w:pPr>
              <w:pStyle w:val="Compact"/>
              <w:jc w:val="left"/>
            </w:pPr>
            <w:r>
              <w:t xml:space="preserve">Gaussian VaR</w:t>
            </w:r>
          </w:p>
        </w:tc>
        <w:tc>
          <w:p>
            <w:pPr>
              <w:pStyle w:val="Compact"/>
              <w:jc w:val="left"/>
            </w:pPr>
            <w:r>
              <w:t xml:space="preserve">0.0093</w:t>
            </w:r>
          </w:p>
        </w:tc>
        <w:tc>
          <w:p>
            <w:pPr>
              <w:pStyle w:val="Compact"/>
              <w:jc w:val="left"/>
            </w:pPr>
            <w:r>
              <w:t xml:space="preserve">0.0116</w:t>
            </w:r>
          </w:p>
        </w:tc>
        <w:tc>
          <w:p>
            <w:pPr>
              <w:pStyle w:val="Compact"/>
              <w:jc w:val="left"/>
            </w:pPr>
            <w:r>
              <w:t xml:space="preserve">0.0056</w:t>
            </w:r>
          </w:p>
        </w:tc>
      </w:tr>
      <w:tr>
        <w:tc>
          <w:p>
            <w:pPr>
              <w:pStyle w:val="Compact"/>
              <w:jc w:val="left"/>
            </w:pPr>
            <w:r>
              <w:t xml:space="preserve">95</w:t>
            </w:r>
          </w:p>
        </w:tc>
        <w:tc>
          <w:p>
            <w:pPr>
              <w:pStyle w:val="Compact"/>
              <w:jc w:val="left"/>
            </w:pPr>
            <w:r>
              <w:t xml:space="preserve">Student-t param.</w:t>
            </w:r>
          </w:p>
        </w:tc>
        <w:tc>
          <w:p>
            <w:pPr>
              <w:pStyle w:val="Compact"/>
              <w:jc w:val="left"/>
            </w:pPr>
            <w:r>
              <w:t xml:space="preserve">0.0088</w:t>
            </w:r>
          </w:p>
        </w:tc>
        <w:tc>
          <w:p>
            <w:pPr>
              <w:pStyle w:val="Compact"/>
              <w:jc w:val="left"/>
            </w:pPr>
            <w:r>
              <w:t xml:space="preserve">0.0126</w:t>
            </w:r>
          </w:p>
        </w:tc>
        <w:tc>
          <w:p>
            <w:pPr>
              <w:pStyle w:val="Compact"/>
              <w:jc w:val="left"/>
            </w:pPr>
            <w:r>
              <w:t xml:space="preserve">0.0043</w:t>
            </w:r>
          </w:p>
        </w:tc>
      </w:tr>
      <w:tr>
        <w:tc>
          <w:p>
            <w:pPr>
              <w:pStyle w:val="Compact"/>
              <w:jc w:val="left"/>
            </w:pPr>
            <w:r>
              <w:t xml:space="preserve">95</w:t>
            </w:r>
          </w:p>
        </w:tc>
        <w:tc>
          <w:p>
            <w:pPr>
              <w:pStyle w:val="Compact"/>
              <w:jc w:val="left"/>
            </w:pPr>
            <w:r>
              <w:t xml:space="preserve">LSTM</w:t>
            </w:r>
          </w:p>
        </w:tc>
        <w:tc>
          <w:p>
            <w:pPr>
              <w:pStyle w:val="Compact"/>
              <w:jc w:val="left"/>
            </w:pPr>
            <w:r>
              <w:t xml:space="preserve">0.008</w:t>
            </w:r>
          </w:p>
        </w:tc>
        <w:tc>
          <w:p>
            <w:pPr>
              <w:pStyle w:val="Compact"/>
              <w:jc w:val="left"/>
            </w:pPr>
            <w:r>
              <w:t xml:space="preserve">0.0098</w:t>
            </w:r>
          </w:p>
        </w:tc>
        <w:tc>
          <w:p>
            <w:pPr>
              <w:pStyle w:val="Compact"/>
              <w:jc w:val="left"/>
            </w:pPr>
            <w:r>
              <w:t xml:space="preserve">0.0043</w:t>
            </w:r>
          </w:p>
        </w:tc>
      </w:tr>
      <w:tr>
        <w:tc>
          <w:p>
            <w:pPr>
              <w:pStyle w:val="Compact"/>
              <w:jc w:val="left"/>
            </w:pPr>
            <w:r>
              <w:t xml:space="preserve">95</w:t>
            </w:r>
          </w:p>
        </w:tc>
        <w:tc>
          <w:p>
            <w:pPr>
              <w:pStyle w:val="Compact"/>
              <w:jc w:val="left"/>
            </w:pPr>
            <w:r>
              <w:t xml:space="preserve">VAE</w:t>
            </w:r>
          </w:p>
        </w:tc>
        <w:tc>
          <w:p>
            <w:pPr>
              <w:pStyle w:val="Compact"/>
              <w:jc w:val="left"/>
            </w:pPr>
            <w:r>
              <w:t xml:space="preserve">0.0074</w:t>
            </w:r>
          </w:p>
        </w:tc>
        <w:tc>
          <w:p>
            <w:pPr>
              <w:pStyle w:val="Compact"/>
              <w:jc w:val="left"/>
            </w:pPr>
            <w:r>
              <w:t xml:space="preserve">0.0101</w:t>
            </w:r>
          </w:p>
        </w:tc>
        <w:tc>
          <w:p>
            <w:pPr>
              <w:pStyle w:val="Compact"/>
              <w:jc w:val="left"/>
            </w:pPr>
            <w:r>
              <w:t xml:space="preserve">0.0042</w:t>
            </w:r>
          </w:p>
        </w:tc>
      </w:tr>
      <w:tr>
        <w:tc>
          <w:p>
            <w:pPr>
              <w:pStyle w:val="Compact"/>
              <w:jc w:val="left"/>
            </w:pPr>
            <w:r>
              <w:t xml:space="preserve">97.5</w:t>
            </w:r>
          </w:p>
        </w:tc>
        <w:tc>
          <w:p>
            <w:pPr>
              <w:pStyle w:val="Compact"/>
              <w:jc w:val="left"/>
            </w:pPr>
            <w:r>
              <w:t xml:space="preserve">Jump-diffusion MC</w:t>
            </w:r>
          </w:p>
        </w:tc>
        <w:tc>
          <w:p>
            <w:pPr>
              <w:pStyle w:val="Compact"/>
              <w:jc w:val="left"/>
            </w:pPr>
            <w:r>
              <w:t xml:space="preserve">0.0119</w:t>
            </w:r>
          </w:p>
        </w:tc>
        <w:tc>
          <w:p>
            <w:pPr>
              <w:pStyle w:val="Compact"/>
              <w:jc w:val="left"/>
            </w:pPr>
            <w:r>
              <w:t xml:space="preserve">0.0179</w:t>
            </w:r>
          </w:p>
        </w:tc>
        <w:tc>
          <w:p>
            <w:pPr>
              <w:pStyle w:val="Compact"/>
              <w:jc w:val="left"/>
            </w:pPr>
            <w:r>
              <w:t xml:space="preserve">0.0065</w:t>
            </w:r>
          </w:p>
        </w:tc>
      </w:tr>
      <w:tr>
        <w:tc>
          <w:p>
            <w:pPr>
              <w:pStyle w:val="Compact"/>
              <w:jc w:val="left"/>
            </w:pPr>
            <w:r>
              <w:t xml:space="preserve">97.5</w:t>
            </w:r>
          </w:p>
        </w:tc>
        <w:tc>
          <w:p>
            <w:pPr>
              <w:pStyle w:val="Compact"/>
              <w:jc w:val="left"/>
            </w:pPr>
            <w:r>
              <w:t xml:space="preserve">Student-t param.</w:t>
            </w:r>
          </w:p>
        </w:tc>
        <w:tc>
          <w:p>
            <w:pPr>
              <w:pStyle w:val="Compact"/>
              <w:jc w:val="left"/>
            </w:pPr>
            <w:r>
              <w:t xml:space="preserve">0.0112</w:t>
            </w:r>
          </w:p>
        </w:tc>
        <w:tc>
          <w:p>
            <w:pPr>
              <w:pStyle w:val="Compact"/>
              <w:jc w:val="left"/>
            </w:pPr>
            <w:r>
              <w:t xml:space="preserve">0.0153</w:t>
            </w:r>
          </w:p>
        </w:tc>
        <w:tc>
          <w:p>
            <w:pPr>
              <w:pStyle w:val="Compact"/>
              <w:jc w:val="left"/>
            </w:pPr>
            <w:r>
              <w:t xml:space="preserve">0.0043</w:t>
            </w:r>
          </w:p>
        </w:tc>
      </w:tr>
      <w:tr>
        <w:tc>
          <w:p>
            <w:pPr>
              <w:pStyle w:val="Compact"/>
              <w:jc w:val="left"/>
            </w:pPr>
            <w:r>
              <w:t xml:space="preserve">97.5</w:t>
            </w:r>
          </w:p>
        </w:tc>
        <w:tc>
          <w:p>
            <w:pPr>
              <w:pStyle w:val="Compact"/>
              <w:jc w:val="left"/>
            </w:pPr>
            <w:r>
              <w:t xml:space="preserve">Gaussian VaR</w:t>
            </w:r>
          </w:p>
        </w:tc>
        <w:tc>
          <w:p>
            <w:pPr>
              <w:pStyle w:val="Compact"/>
              <w:jc w:val="left"/>
            </w:pPr>
            <w:r>
              <w:t xml:space="preserve">0.0111</w:t>
            </w:r>
          </w:p>
        </w:tc>
        <w:tc>
          <w:p>
            <w:pPr>
              <w:pStyle w:val="Compact"/>
              <w:jc w:val="left"/>
            </w:pPr>
            <w:r>
              <w:t xml:space="preserve">0.0132</w:t>
            </w:r>
          </w:p>
        </w:tc>
        <w:tc>
          <w:p>
            <w:pPr>
              <w:pStyle w:val="Compact"/>
              <w:jc w:val="left"/>
            </w:pPr>
            <w:r>
              <w:t xml:space="preserve">0.0056</w:t>
            </w:r>
          </w:p>
        </w:tc>
      </w:tr>
      <w:tr>
        <w:tc>
          <w:p>
            <w:pPr>
              <w:pStyle w:val="Compact"/>
              <w:jc w:val="left"/>
            </w:pPr>
            <w:r>
              <w:t xml:space="preserve">97.5</w:t>
            </w:r>
          </w:p>
        </w:tc>
        <w:tc>
          <w:p>
            <w:pPr>
              <w:pStyle w:val="Compact"/>
              <w:jc w:val="left"/>
            </w:pPr>
            <w:r>
              <w:t xml:space="preserve">LSTM</w:t>
            </w:r>
          </w:p>
        </w:tc>
        <w:tc>
          <w:p>
            <w:pPr>
              <w:pStyle w:val="Compact"/>
              <w:jc w:val="left"/>
            </w:pPr>
            <w:r>
              <w:t xml:space="preserve">0.0093</w:t>
            </w:r>
          </w:p>
        </w:tc>
        <w:tc>
          <w:p>
            <w:pPr>
              <w:pStyle w:val="Compact"/>
              <w:jc w:val="left"/>
            </w:pPr>
            <w:r>
              <w:t xml:space="preserve">0.011</w:t>
            </w:r>
          </w:p>
        </w:tc>
        <w:tc>
          <w:p>
            <w:pPr>
              <w:pStyle w:val="Compact"/>
              <w:jc w:val="left"/>
            </w:pPr>
            <w:r>
              <w:t xml:space="preserve">0.0043</w:t>
            </w:r>
          </w:p>
        </w:tc>
      </w:tr>
      <w:tr>
        <w:tc>
          <w:p>
            <w:pPr>
              <w:pStyle w:val="Compact"/>
              <w:jc w:val="left"/>
            </w:pPr>
            <w:r>
              <w:t xml:space="preserve">97.5</w:t>
            </w:r>
          </w:p>
        </w:tc>
        <w:tc>
          <w:p>
            <w:pPr>
              <w:pStyle w:val="Compact"/>
              <w:jc w:val="left"/>
            </w:pPr>
            <w:r>
              <w:t xml:space="preserve">VAE</w:t>
            </w:r>
          </w:p>
        </w:tc>
        <w:tc>
          <w:p>
            <w:pPr>
              <w:pStyle w:val="Compact"/>
              <w:jc w:val="left"/>
            </w:pPr>
            <w:r>
              <w:t xml:space="preserve">0.0093</w:t>
            </w:r>
          </w:p>
        </w:tc>
        <w:tc>
          <w:p>
            <w:pPr>
              <w:pStyle w:val="Compact"/>
              <w:jc w:val="left"/>
            </w:pPr>
            <w:r>
              <w:t xml:space="preserve">0.012</w:t>
            </w:r>
          </w:p>
        </w:tc>
        <w:tc>
          <w:p>
            <w:pPr>
              <w:pStyle w:val="Compact"/>
              <w:jc w:val="left"/>
            </w:pPr>
            <w:r>
              <w:t xml:space="preserve">0.0042</w:t>
            </w:r>
          </w:p>
        </w:tc>
      </w:tr>
      <w:tr>
        <w:tc>
          <w:p>
            <w:pPr>
              <w:pStyle w:val="Compact"/>
              <w:jc w:val="left"/>
            </w:pPr>
            <w:r>
              <w:t xml:space="preserve">99</w:t>
            </w:r>
          </w:p>
        </w:tc>
        <w:tc>
          <w:p>
            <w:pPr>
              <w:pStyle w:val="Compact"/>
              <w:jc w:val="left"/>
            </w:pPr>
            <w:r>
              <w:t xml:space="preserve">Jump-diffusion MC</w:t>
            </w:r>
          </w:p>
        </w:tc>
        <w:tc>
          <w:p>
            <w:pPr>
              <w:pStyle w:val="Compact"/>
              <w:jc w:val="left"/>
            </w:pPr>
            <w:r>
              <w:t xml:space="preserve">0.016</w:t>
            </w:r>
          </w:p>
        </w:tc>
        <w:tc>
          <w:p>
            <w:pPr>
              <w:pStyle w:val="Compact"/>
              <w:jc w:val="left"/>
            </w:pPr>
            <w:r>
              <w:t xml:space="preserve">0.0284</w:t>
            </w:r>
          </w:p>
        </w:tc>
        <w:tc>
          <w:p>
            <w:pPr>
              <w:pStyle w:val="Compact"/>
              <w:jc w:val="left"/>
            </w:pPr>
            <w:r>
              <w:t xml:space="preserve">0.0067</w:t>
            </w:r>
          </w:p>
        </w:tc>
      </w:tr>
      <w:tr>
        <w:tc>
          <w:p>
            <w:pPr>
              <w:pStyle w:val="Compact"/>
              <w:jc w:val="left"/>
            </w:pPr>
            <w:r>
              <w:t xml:space="preserve">99</w:t>
            </w:r>
          </w:p>
        </w:tc>
        <w:tc>
          <w:p>
            <w:pPr>
              <w:pStyle w:val="Compact"/>
              <w:jc w:val="left"/>
            </w:pPr>
            <w:r>
              <w:t xml:space="preserve">Student-t param.</w:t>
            </w:r>
          </w:p>
        </w:tc>
        <w:tc>
          <w:p>
            <w:pPr>
              <w:pStyle w:val="Compact"/>
              <w:jc w:val="left"/>
            </w:pPr>
            <w:r>
              <w:t xml:space="preserve">0.0147</w:t>
            </w:r>
          </w:p>
        </w:tc>
        <w:tc>
          <w:p>
            <w:pPr>
              <w:pStyle w:val="Compact"/>
              <w:jc w:val="left"/>
            </w:pPr>
            <w:r>
              <w:t xml:space="preserve">0.0194</w:t>
            </w:r>
          </w:p>
        </w:tc>
        <w:tc>
          <w:p>
            <w:pPr>
              <w:pStyle w:val="Compact"/>
              <w:jc w:val="left"/>
            </w:pPr>
            <w:r>
              <w:t xml:space="preserve">0.0043</w:t>
            </w:r>
          </w:p>
        </w:tc>
      </w:tr>
      <w:tr>
        <w:tc>
          <w:p>
            <w:pPr>
              <w:pStyle w:val="Compact"/>
              <w:jc w:val="left"/>
            </w:pPr>
            <w:r>
              <w:t xml:space="preserve">99</w:t>
            </w:r>
          </w:p>
        </w:tc>
        <w:tc>
          <w:p>
            <w:pPr>
              <w:pStyle w:val="Compact"/>
              <w:jc w:val="left"/>
            </w:pPr>
            <w:r>
              <w:t xml:space="preserve">Gaussian VaR</w:t>
            </w:r>
          </w:p>
        </w:tc>
        <w:tc>
          <w:p>
            <w:pPr>
              <w:pStyle w:val="Compact"/>
              <w:jc w:val="left"/>
            </w:pPr>
            <w:r>
              <w:t xml:space="preserve">0.0131</w:t>
            </w:r>
          </w:p>
        </w:tc>
        <w:tc>
          <w:p>
            <w:pPr>
              <w:pStyle w:val="Compact"/>
              <w:jc w:val="left"/>
            </w:pPr>
            <w:r>
              <w:t xml:space="preserve">0.015</w:t>
            </w:r>
          </w:p>
        </w:tc>
        <w:tc>
          <w:p>
            <w:pPr>
              <w:pStyle w:val="Compact"/>
              <w:jc w:val="left"/>
            </w:pPr>
            <w:r>
              <w:t xml:space="preserve">0.0056</w:t>
            </w:r>
          </w:p>
        </w:tc>
      </w:tr>
      <w:tr>
        <w:tc>
          <w:p>
            <w:pPr>
              <w:pStyle w:val="Compact"/>
              <w:jc w:val="left"/>
            </w:pPr>
            <w:r>
              <w:t xml:space="preserve">99</w:t>
            </w:r>
          </w:p>
        </w:tc>
        <w:tc>
          <w:p>
            <w:pPr>
              <w:pStyle w:val="Compact"/>
              <w:jc w:val="left"/>
            </w:pPr>
            <w:r>
              <w:t xml:space="preserve">VAE</w:t>
            </w:r>
          </w:p>
        </w:tc>
        <w:tc>
          <w:p>
            <w:pPr>
              <w:pStyle w:val="Compact"/>
              <w:jc w:val="left"/>
            </w:pPr>
            <w:r>
              <w:t xml:space="preserve">0.0117</w:t>
            </w:r>
          </w:p>
        </w:tc>
        <w:tc>
          <w:p>
            <w:pPr>
              <w:pStyle w:val="Compact"/>
              <w:jc w:val="left"/>
            </w:pPr>
            <w:r>
              <w:t xml:space="preserve">0.0144</w:t>
            </w:r>
          </w:p>
        </w:tc>
        <w:tc>
          <w:p>
            <w:pPr>
              <w:pStyle w:val="Compact"/>
              <w:jc w:val="left"/>
            </w:pPr>
            <w:r>
              <w:t xml:space="preserve">0.0042</w:t>
            </w:r>
          </w:p>
        </w:tc>
      </w:tr>
      <w:tr>
        <w:tc>
          <w:p>
            <w:pPr>
              <w:pStyle w:val="Compact"/>
              <w:jc w:val="left"/>
            </w:pPr>
            <w:r>
              <w:t xml:space="preserve">99</w:t>
            </w:r>
          </w:p>
        </w:tc>
        <w:tc>
          <w:p>
            <w:pPr>
              <w:pStyle w:val="Compact"/>
              <w:jc w:val="left"/>
            </w:pPr>
            <w:r>
              <w:t xml:space="preserve">LSTM</w:t>
            </w:r>
          </w:p>
        </w:tc>
        <w:tc>
          <w:p>
            <w:pPr>
              <w:pStyle w:val="Compact"/>
              <w:jc w:val="left"/>
            </w:pPr>
            <w:r>
              <w:t xml:space="preserve">0.0109</w:t>
            </w:r>
          </w:p>
        </w:tc>
        <w:tc>
          <w:p>
            <w:pPr>
              <w:pStyle w:val="Compact"/>
              <w:jc w:val="left"/>
            </w:pPr>
            <w:r>
              <w:t xml:space="preserve">0.0124</w:t>
            </w:r>
          </w:p>
        </w:tc>
        <w:tc>
          <w:p>
            <w:pPr>
              <w:pStyle w:val="Compact"/>
              <w:jc w:val="left"/>
            </w:pPr>
            <w:r>
              <w:t xml:space="preserve">0.0043</w:t>
            </w:r>
          </w:p>
        </w:tc>
      </w:tr>
    </w:tbl>
    <w:p>
      <w:pPr>
        <w:pStyle w:val="Heading3"/>
      </w:pPr>
      <w:bookmarkStart w:id="36" w:name="student-t-degrees-of-freedom-impact"/>
      <w:r>
        <w:t xml:space="preserve">Student-t Degrees-of-Freedom Impact</w:t>
      </w:r>
      <w:bookmarkEnd w:id="3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degrees_of_freedom</w:t>
            </w:r>
          </w:p>
        </w:tc>
        <w:tc>
          <w:tcPr>
            <w:tcBorders>
              <w:bottom w:val="single"/>
            </w:tcBorders>
            <w:vAlign w:val="bottom"/>
          </w:tcPr>
          <w:p>
            <w:pPr>
              <w:pStyle w:val="Compact"/>
              <w:jc w:val="left"/>
            </w:pPr>
            <w:r>
              <w:t xml:space="preserve">VaR_return</w:t>
            </w:r>
          </w:p>
        </w:tc>
        <w:tc>
          <w:tcPr>
            <w:tcBorders>
              <w:bottom w:val="single"/>
            </w:tcBorders>
            <w:vAlign w:val="bottom"/>
          </w:tcPr>
          <w:p>
            <w:pPr>
              <w:pStyle w:val="Compact"/>
              <w:jc w:val="left"/>
            </w:pPr>
            <w:r>
              <w:t xml:space="preserve">VaR_loss</w:t>
            </w:r>
          </w:p>
        </w:tc>
        <w:tc>
          <w:tcPr>
            <w:tcBorders>
              <w:bottom w:val="single"/>
            </w:tcBorders>
            <w:vAlign w:val="bottom"/>
          </w:tcPr>
          <w:p>
            <w:pPr>
              <w:pStyle w:val="Compact"/>
              <w:jc w:val="left"/>
            </w:pPr>
            <w:r>
              <w:t xml:space="preserve">tail_ratio_to_sigma</w:t>
            </w:r>
          </w:p>
        </w:tc>
        <w:tc>
          <w:tcPr>
            <w:tcBorders>
              <w:bottom w:val="single"/>
            </w:tcBorders>
            <w:vAlign w:val="bottom"/>
          </w:tcPr>
          <w:p>
            <w:pPr>
              <w:pStyle w:val="Compact"/>
              <w:jc w:val="left"/>
            </w:pPr>
            <w:r>
              <w:t xml:space="preserve">is_estimated_setting</w:t>
            </w:r>
          </w:p>
        </w:tc>
      </w:tr>
      <w:tr>
        <w:tc>
          <w:p>
            <w:pPr>
              <w:pStyle w:val="Compact"/>
              <w:jc w:val="left"/>
            </w:pPr>
            <w:r>
              <w:t xml:space="preserve">4.5</w:t>
            </w:r>
          </w:p>
        </w:tc>
        <w:tc>
          <w:p>
            <w:pPr>
              <w:pStyle w:val="Compact"/>
              <w:jc w:val="left"/>
            </w:pPr>
            <w:r>
              <w:t xml:space="preserve">-0.0148</w:t>
            </w:r>
          </w:p>
        </w:tc>
        <w:tc>
          <w:p>
            <w:pPr>
              <w:pStyle w:val="Compact"/>
              <w:jc w:val="left"/>
            </w:pPr>
            <w:r>
              <w:t xml:space="preserve">0.0148</w:t>
            </w:r>
          </w:p>
        </w:tc>
        <w:tc>
          <w:p>
            <w:pPr>
              <w:pStyle w:val="Compact"/>
              <w:jc w:val="left"/>
            </w:pPr>
            <w:r>
              <w:t xml:space="preserve">2.6506</w:t>
            </w:r>
          </w:p>
        </w:tc>
        <w:tc>
          <w:p>
            <w:pPr>
              <w:pStyle w:val="Compact"/>
              <w:jc w:val="left"/>
            </w:pPr>
            <w:r>
              <w:t xml:space="preserve">0</w:t>
            </w:r>
          </w:p>
        </w:tc>
      </w:tr>
      <w:tr>
        <w:tc>
          <w:p>
            <w:pPr>
              <w:pStyle w:val="Compact"/>
              <w:jc w:val="left"/>
            </w:pPr>
            <w:r>
              <w:t xml:space="preserve">5</w:t>
            </w:r>
          </w:p>
        </w:tc>
        <w:tc>
          <w:p>
            <w:pPr>
              <w:pStyle w:val="Compact"/>
              <w:jc w:val="left"/>
            </w:pPr>
            <w:r>
              <w:t xml:space="preserve">-0.0147</w:t>
            </w:r>
          </w:p>
        </w:tc>
        <w:tc>
          <w:p>
            <w:pPr>
              <w:pStyle w:val="Compact"/>
              <w:jc w:val="left"/>
            </w:pPr>
            <w:r>
              <w:t xml:space="preserve">0.0147</w:t>
            </w:r>
          </w:p>
        </w:tc>
        <w:tc>
          <w:p>
            <w:pPr>
              <w:pStyle w:val="Compact"/>
              <w:jc w:val="left"/>
            </w:pPr>
            <w:r>
              <w:t xml:space="preserve">2.6281</w:t>
            </w:r>
          </w:p>
        </w:tc>
        <w:tc>
          <w:p>
            <w:pPr>
              <w:pStyle w:val="Compact"/>
              <w:jc w:val="left"/>
            </w:pPr>
            <w:r>
              <w:t xml:space="preserve">0</w:t>
            </w:r>
          </w:p>
        </w:tc>
      </w:tr>
      <w:tr>
        <w:tc>
          <w:p>
            <w:pPr>
              <w:pStyle w:val="Compact"/>
              <w:jc w:val="left"/>
            </w:pPr>
            <w:r>
              <w:t xml:space="preserve">6</w:t>
            </w:r>
          </w:p>
        </w:tc>
        <w:tc>
          <w:p>
            <w:pPr>
              <w:pStyle w:val="Compact"/>
              <w:jc w:val="left"/>
            </w:pPr>
            <w:r>
              <w:t xml:space="preserve">-0.0144</w:t>
            </w:r>
          </w:p>
        </w:tc>
        <w:tc>
          <w:p>
            <w:pPr>
              <w:pStyle w:val="Compact"/>
              <w:jc w:val="left"/>
            </w:pPr>
            <w:r>
              <w:t xml:space="preserve">0.0144</w:t>
            </w:r>
          </w:p>
        </w:tc>
        <w:tc>
          <w:p>
            <w:pPr>
              <w:pStyle w:val="Compact"/>
              <w:jc w:val="left"/>
            </w:pPr>
            <w:r>
              <w:t xml:space="preserve">2.5876</w:t>
            </w:r>
          </w:p>
        </w:tc>
        <w:tc>
          <w:p>
            <w:pPr>
              <w:pStyle w:val="Compact"/>
              <w:jc w:val="left"/>
            </w:pPr>
            <w:r>
              <w:t xml:space="preserve">0</w:t>
            </w:r>
          </w:p>
        </w:tc>
      </w:tr>
      <w:tr>
        <w:tc>
          <w:p>
            <w:pPr>
              <w:pStyle w:val="Compact"/>
              <w:jc w:val="left"/>
            </w:pPr>
            <w:r>
              <w:t xml:space="preserve">8</w:t>
            </w:r>
          </w:p>
        </w:tc>
        <w:tc>
          <w:p>
            <w:pPr>
              <w:pStyle w:val="Compact"/>
              <w:jc w:val="left"/>
            </w:pPr>
            <w:r>
              <w:t xml:space="preserve">-0.0141</w:t>
            </w:r>
          </w:p>
        </w:tc>
        <w:tc>
          <w:p>
            <w:pPr>
              <w:pStyle w:val="Compact"/>
              <w:jc w:val="left"/>
            </w:pPr>
            <w:r>
              <w:t xml:space="preserve">0.0141</w:t>
            </w:r>
          </w:p>
        </w:tc>
        <w:tc>
          <w:p>
            <w:pPr>
              <w:pStyle w:val="Compact"/>
              <w:jc w:val="left"/>
            </w:pPr>
            <w:r>
              <w:t xml:space="preserve">2.5301</w:t>
            </w:r>
          </w:p>
        </w:tc>
        <w:tc>
          <w:p>
            <w:pPr>
              <w:pStyle w:val="Compact"/>
              <w:jc w:val="left"/>
            </w:pPr>
            <w:r>
              <w:t xml:space="preserve">0</w:t>
            </w:r>
          </w:p>
        </w:tc>
      </w:tr>
      <w:tr>
        <w:tc>
          <w:p>
            <w:pPr>
              <w:pStyle w:val="Compact"/>
              <w:jc w:val="left"/>
            </w:pPr>
            <w:r>
              <w:t xml:space="preserve">12</w:t>
            </w:r>
          </w:p>
        </w:tc>
        <w:tc>
          <w:p>
            <w:pPr>
              <w:pStyle w:val="Compact"/>
              <w:jc w:val="left"/>
            </w:pPr>
            <w:r>
              <w:t xml:space="preserve">-0.0138</w:t>
            </w:r>
          </w:p>
        </w:tc>
        <w:tc>
          <w:p>
            <w:pPr>
              <w:pStyle w:val="Compact"/>
              <w:jc w:val="left"/>
            </w:pPr>
            <w:r>
              <w:t xml:space="preserve">0.0138</w:t>
            </w:r>
          </w:p>
        </w:tc>
        <w:tc>
          <w:p>
            <w:pPr>
              <w:pStyle w:val="Compact"/>
              <w:jc w:val="left"/>
            </w:pPr>
            <w:r>
              <w:t xml:space="preserve">2.4691</w:t>
            </w:r>
          </w:p>
        </w:tc>
        <w:tc>
          <w:p>
            <w:pPr>
              <w:pStyle w:val="Compact"/>
              <w:jc w:val="left"/>
            </w:pPr>
            <w:r>
              <w:t xml:space="preserve">0</w:t>
            </w:r>
          </w:p>
        </w:tc>
      </w:tr>
      <w:tr>
        <w:tc>
          <w:p>
            <w:pPr>
              <w:pStyle w:val="Compact"/>
              <w:jc w:val="left"/>
            </w:pPr>
            <w:r>
              <w:t xml:space="preserve">20</w:t>
            </w:r>
          </w:p>
        </w:tc>
        <w:tc>
          <w:p>
            <w:pPr>
              <w:pStyle w:val="Compact"/>
              <w:jc w:val="left"/>
            </w:pPr>
            <w:r>
              <w:t xml:space="preserve">-0.0135</w:t>
            </w:r>
          </w:p>
        </w:tc>
        <w:tc>
          <w:p>
            <w:pPr>
              <w:pStyle w:val="Compact"/>
              <w:jc w:val="left"/>
            </w:pPr>
            <w:r>
              <w:t xml:space="preserve">0.0135</w:t>
            </w:r>
          </w:p>
        </w:tc>
        <w:tc>
          <w:p>
            <w:pPr>
              <w:pStyle w:val="Compact"/>
              <w:jc w:val="left"/>
            </w:pPr>
            <w:r>
              <w:t xml:space="preserve">2.4199</w:t>
            </w:r>
          </w:p>
        </w:tc>
        <w:tc>
          <w:p>
            <w:pPr>
              <w:pStyle w:val="Compact"/>
              <w:jc w:val="left"/>
            </w:pPr>
            <w:r>
              <w:t xml:space="preserve">0</w:t>
            </w:r>
          </w:p>
        </w:tc>
      </w:tr>
    </w:tbl>
    <w:p>
      <w:pPr>
        <w:pStyle w:val="Heading3"/>
      </w:pPr>
      <w:bookmarkStart w:id="37" w:name="lstm-look-back-window-impact"/>
      <w:r>
        <w:t xml:space="preserve">LSTM Look-back Window Impact</w:t>
      </w:r>
      <w:bookmarkEnd w:id="37"/>
    </w:p>
    <w:tbl>
      <w:tblPr>
        <w:tblStyle w:val="Table"/>
        <w:tblW w:type="pct" w:w="4999.999999999999"/>
        <w:tblLook w:firstRow="1"/>
      </w:tblPr>
      <w:tblGrid>
        <w:gridCol w:w="792"/>
        <w:gridCol w:w="792"/>
        <w:gridCol w:w="792"/>
        <w:gridCol w:w="792"/>
        <w:gridCol w:w="792"/>
        <w:gridCol w:w="792"/>
        <w:gridCol w:w="792"/>
        <w:gridCol w:w="792"/>
        <w:gridCol w:w="792"/>
        <w:gridCol w:w="792"/>
      </w:tblGrid>
      <w:tr>
        <w:trPr>
          <w:cnfStyle w:firstRow="1"/>
        </w:trPr>
        <w:tc>
          <w:tcPr>
            <w:tcBorders>
              <w:bottom w:val="single"/>
            </w:tcBorders>
            <w:vAlign w:val="bottom"/>
          </w:tcPr>
          <w:p>
            <w:pPr>
              <w:pStyle w:val="Compact"/>
              <w:jc w:val="left"/>
            </w:pPr>
            <w:r>
              <w:t xml:space="preserve">lookback_hours</w:t>
            </w:r>
          </w:p>
        </w:tc>
        <w:tc>
          <w:tcPr>
            <w:tcBorders>
              <w:bottom w:val="single"/>
            </w:tcBorders>
            <w:vAlign w:val="bottom"/>
          </w:tcPr>
          <w:p>
            <w:pPr>
              <w:pStyle w:val="Compact"/>
              <w:jc w:val="left"/>
            </w:pPr>
            <w:r>
              <w:t xml:space="preserve">best_validation_loss</w:t>
            </w:r>
          </w:p>
        </w:tc>
        <w:tc>
          <w:tcPr>
            <w:tcBorders>
              <w:bottom w:val="single"/>
            </w:tcBorders>
            <w:vAlign w:val="bottom"/>
          </w:tcPr>
          <w:p>
            <w:pPr>
              <w:pStyle w:val="Compact"/>
              <w:jc w:val="left"/>
            </w:pPr>
            <w:r>
              <w:t xml:space="preserve">sigma_tracking_mae</w:t>
            </w:r>
          </w:p>
        </w:tc>
        <w:tc>
          <w:tcPr>
            <w:tcBorders>
              <w:bottom w:val="single"/>
            </w:tcBorders>
            <w:vAlign w:val="bottom"/>
          </w:tcPr>
          <w:p>
            <w:pPr>
              <w:pStyle w:val="Compact"/>
              <w:jc w:val="left"/>
            </w:pPr>
            <w:r>
              <w:t xml:space="preserve">current_VaR_loss</w:t>
            </w:r>
          </w:p>
        </w:tc>
        <w:tc>
          <w:tcPr>
            <w:tcBorders>
              <w:bottom w:val="single"/>
            </w:tcBorders>
            <w:vAlign w:val="bottom"/>
          </w:tcPr>
          <w:p>
            <w:pPr>
              <w:pStyle w:val="Compact"/>
              <w:jc w:val="left"/>
            </w:pPr>
            <w:r>
              <w:t xml:space="preserve">current_sigma</w:t>
            </w:r>
          </w:p>
        </w:tc>
        <w:tc>
          <w:tcPr>
            <w:tcBorders>
              <w:bottom w:val="single"/>
            </w:tcBorders>
            <w:vAlign w:val="bottom"/>
          </w:tcPr>
          <w:p>
            <w:pPr>
              <w:pStyle w:val="Compact"/>
              <w:jc w:val="left"/>
            </w:pPr>
            <w:r>
              <w:t xml:space="preserve">validation_violation_rate</w:t>
            </w:r>
          </w:p>
        </w:tc>
        <w:tc>
          <w:tcPr>
            <w:tcBorders>
              <w:bottom w:val="single"/>
            </w:tcBorders>
            <w:vAlign w:val="bottom"/>
          </w:tcPr>
          <w:p>
            <w:pPr>
              <w:pStyle w:val="Compact"/>
              <w:jc w:val="left"/>
            </w:pPr>
            <w:r>
              <w:t xml:space="preserve">validation_kupiec_pvalue</w:t>
            </w:r>
          </w:p>
        </w:tc>
        <w:tc>
          <w:tcPr>
            <w:tcBorders>
              <w:bottom w:val="single"/>
            </w:tcBorders>
            <w:vAlign w:val="bottom"/>
          </w:tcPr>
          <w:p>
            <w:pPr>
              <w:pStyle w:val="Compact"/>
              <w:jc w:val="left"/>
            </w:pPr>
            <w:r>
              <w:t xml:space="preserve">validation_ind_pvalue</w:t>
            </w:r>
          </w:p>
        </w:tc>
        <w:tc>
          <w:tcPr>
            <w:tcBorders>
              <w:bottom w:val="single"/>
            </w:tcBorders>
            <w:vAlign w:val="bottom"/>
          </w:tcPr>
          <w:p>
            <w:pPr>
              <w:pStyle w:val="Compact"/>
              <w:jc w:val="left"/>
            </w:pPr>
            <w:r>
              <w:t xml:space="preserve">validation_cc_pvalue</w:t>
            </w:r>
          </w:p>
        </w:tc>
        <w:tc>
          <w:tcPr>
            <w:tcBorders>
              <w:bottom w:val="single"/>
            </w:tcBorders>
            <w:vAlign w:val="bottom"/>
          </w:tcPr>
          <w:p>
            <w:pPr>
              <w:pStyle w:val="Compact"/>
              <w:jc w:val="left"/>
            </w:pPr>
            <w:r>
              <w:t xml:space="preserve">tail_quantile_z</w:t>
            </w:r>
          </w:p>
        </w:tc>
      </w:tr>
      <w:tr>
        <w:tc>
          <w:p>
            <w:pPr>
              <w:pStyle w:val="Compact"/>
              <w:jc w:val="left"/>
            </w:pPr>
            <w:r>
              <w:t xml:space="preserve">24</w:t>
            </w:r>
          </w:p>
        </w:tc>
        <w:tc>
          <w:p>
            <w:pPr>
              <w:pStyle w:val="Compact"/>
              <w:jc w:val="left"/>
            </w:pPr>
            <w:r>
              <w:t xml:space="preserve">-4.6994</w:t>
            </w:r>
          </w:p>
        </w:tc>
        <w:tc>
          <w:p>
            <w:pPr>
              <w:pStyle w:val="Compact"/>
              <w:jc w:val="left"/>
            </w:pPr>
            <w:r>
              <w:t xml:space="preserve">0.0038</w:t>
            </w:r>
          </w:p>
        </w:tc>
        <w:tc>
          <w:p>
            <w:pPr>
              <w:pStyle w:val="Compact"/>
              <w:jc w:val="left"/>
            </w:pPr>
            <w:r>
              <w:t xml:space="preserve">0.014</w:t>
            </w:r>
          </w:p>
        </w:tc>
        <w:tc>
          <w:p>
            <w:pPr>
              <w:pStyle w:val="Compact"/>
              <w:jc w:val="left"/>
            </w:pPr>
            <w:r>
              <w:t xml:space="preserve">0.0054</w:t>
            </w:r>
          </w:p>
        </w:tc>
        <w:tc>
          <w:p>
            <w:pPr>
              <w:pStyle w:val="Compact"/>
              <w:jc w:val="left"/>
            </w:pPr>
            <w:r>
              <w:t xml:space="preserve">0.01</w:t>
            </w:r>
          </w:p>
        </w:tc>
        <w:tc>
          <w:p>
            <w:pPr>
              <w:pStyle w:val="Compact"/>
              <w:jc w:val="left"/>
            </w:pPr>
            <w:r>
              <w:t xml:space="preserve">0.9675</w:t>
            </w:r>
          </w:p>
        </w:tc>
        <w:tc>
          <w:p>
            <w:pPr>
              <w:pStyle w:val="Compact"/>
              <w:jc w:val="left"/>
            </w:pPr>
            <w:r>
              <w:t xml:space="preserve">0.0473</w:t>
            </w:r>
          </w:p>
        </w:tc>
        <w:tc>
          <w:p>
            <w:pPr>
              <w:pStyle w:val="Compact"/>
              <w:jc w:val="left"/>
            </w:pPr>
            <w:r>
              <w:t xml:space="preserve">0.1397</w:t>
            </w:r>
          </w:p>
        </w:tc>
        <w:tc>
          <w:p>
            <w:pPr>
              <w:pStyle w:val="Compact"/>
              <w:jc w:val="left"/>
            </w:pPr>
            <w:r>
              <w:t xml:space="preserve">-2.2808</w:t>
            </w:r>
          </w:p>
        </w:tc>
      </w:tr>
      <w:tr>
        <w:tc>
          <w:p>
            <w:pPr>
              <w:pStyle w:val="Compact"/>
              <w:jc w:val="left"/>
            </w:pPr>
            <w:r>
              <w:t xml:space="preserve">48</w:t>
            </w:r>
          </w:p>
        </w:tc>
        <w:tc>
          <w:p>
            <w:pPr>
              <w:pStyle w:val="Compact"/>
              <w:jc w:val="left"/>
            </w:pPr>
            <w:r>
              <w:t xml:space="preserve">-4.7665</w:t>
            </w:r>
          </w:p>
        </w:tc>
        <w:tc>
          <w:p>
            <w:pPr>
              <w:pStyle w:val="Compact"/>
              <w:jc w:val="left"/>
            </w:pPr>
            <w:r>
              <w:t xml:space="preserve">0.0033</w:t>
            </w:r>
          </w:p>
        </w:tc>
        <w:tc>
          <w:p>
            <w:pPr>
              <w:pStyle w:val="Compact"/>
              <w:jc w:val="left"/>
            </w:pPr>
            <w:r>
              <w:t xml:space="preserve">0.0123</w:t>
            </w:r>
          </w:p>
        </w:tc>
        <w:tc>
          <w:p>
            <w:pPr>
              <w:pStyle w:val="Compact"/>
              <w:jc w:val="left"/>
            </w:pPr>
            <w:r>
              <w:t xml:space="preserve">0.0049</w:t>
            </w:r>
          </w:p>
        </w:tc>
        <w:tc>
          <w:p>
            <w:pPr>
              <w:pStyle w:val="Compact"/>
              <w:jc w:val="left"/>
            </w:pPr>
            <w:r>
              <w:t xml:space="preserve">0.0101</w:t>
            </w:r>
          </w:p>
        </w:tc>
        <w:tc>
          <w:p>
            <w:pPr>
              <w:pStyle w:val="Compact"/>
              <w:jc w:val="left"/>
            </w:pPr>
            <w:r>
              <w:t xml:space="preserve">0.9629</w:t>
            </w:r>
          </w:p>
        </w:tc>
        <w:tc>
          <w:p>
            <w:pPr>
              <w:pStyle w:val="Compact"/>
              <w:jc w:val="left"/>
            </w:pPr>
            <w:r>
              <w:t xml:space="preserve">0.7852</w:t>
            </w:r>
          </w:p>
        </w:tc>
        <w:tc>
          <w:p>
            <w:pPr>
              <w:pStyle w:val="Compact"/>
              <w:jc w:val="left"/>
            </w:pPr>
            <w:r>
              <w:t xml:space="preserve">0.9625</w:t>
            </w:r>
          </w:p>
        </w:tc>
        <w:tc>
          <w:p>
            <w:pPr>
              <w:pStyle w:val="Compact"/>
              <w:jc w:val="left"/>
            </w:pPr>
            <w:r>
              <w:t xml:space="preserve">-2.5731</w:t>
            </w:r>
          </w:p>
        </w:tc>
      </w:tr>
      <w:tr>
        <w:tc>
          <w:p>
            <w:pPr>
              <w:pStyle w:val="Compact"/>
              <w:jc w:val="left"/>
            </w:pPr>
            <w:r>
              <w:t xml:space="preserve">72</w:t>
            </w:r>
          </w:p>
        </w:tc>
        <w:tc>
          <w:p>
            <w:pPr>
              <w:pStyle w:val="Compact"/>
              <w:jc w:val="left"/>
            </w:pPr>
            <w:r>
              <w:t xml:space="preserve">-4.7694</w:t>
            </w:r>
          </w:p>
        </w:tc>
        <w:tc>
          <w:p>
            <w:pPr>
              <w:pStyle w:val="Compact"/>
              <w:jc w:val="left"/>
            </w:pPr>
            <w:r>
              <w:t xml:space="preserve">0.003</w:t>
            </w:r>
          </w:p>
        </w:tc>
        <w:tc>
          <w:p>
            <w:pPr>
              <w:pStyle w:val="Compact"/>
              <w:jc w:val="left"/>
            </w:pPr>
            <w:r>
              <w:t xml:space="preserve">0.0124</w:t>
            </w:r>
          </w:p>
        </w:tc>
        <w:tc>
          <w:p>
            <w:pPr>
              <w:pStyle w:val="Compact"/>
              <w:jc w:val="left"/>
            </w:pPr>
            <w:r>
              <w:t xml:space="preserve">0.0043</w:t>
            </w:r>
          </w:p>
        </w:tc>
        <w:tc>
          <w:p>
            <w:pPr>
              <w:pStyle w:val="Compact"/>
              <w:jc w:val="left"/>
            </w:pPr>
            <w:r>
              <w:t xml:space="preserve">0.0101</w:t>
            </w:r>
          </w:p>
        </w:tc>
        <w:tc>
          <w:p>
            <w:pPr>
              <w:pStyle w:val="Compact"/>
              <w:jc w:val="left"/>
            </w:pPr>
            <w:r>
              <w:t xml:space="preserve">0.9583</w:t>
            </w:r>
          </w:p>
        </w:tc>
        <w:tc>
          <w:p>
            <w:pPr>
              <w:pStyle w:val="Compact"/>
              <w:jc w:val="left"/>
            </w:pPr>
            <w:r>
              <w:t xml:space="preserve">0.7857</w:t>
            </w:r>
          </w:p>
        </w:tc>
        <w:tc>
          <w:p>
            <w:pPr>
              <w:pStyle w:val="Compact"/>
              <w:jc w:val="left"/>
            </w:pPr>
            <w:r>
              <w:t xml:space="preserve">0.9624</w:t>
            </w:r>
          </w:p>
        </w:tc>
        <w:tc>
          <w:p>
            <w:pPr>
              <w:pStyle w:val="Compact"/>
              <w:jc w:val="left"/>
            </w:pPr>
            <w:r>
              <w:t xml:space="preserve">-2.662</w:t>
            </w:r>
          </w:p>
        </w:tc>
      </w:tr>
    </w:tbl>
    <w:p>
      <w:pPr>
        <w:pStyle w:val="Heading2"/>
      </w:pPr>
      <w:bookmarkStart w:id="38" w:name="stress-testing"/>
      <w:r>
        <w:t xml:space="preserve">Stress Testing</w:t>
      </w:r>
      <w:bookmarkEnd w:id="38"/>
    </w:p>
    <w:p>
      <w:pPr>
        <w:pStyle w:val="FirstParagraph"/>
      </w:pPr>
      <w:r>
        <w:t xml:space="preserve">The stress section is designed as a two-window case-study exercise rather than an exhaustive event screen. Two pre-specified event windows are defined in code, and the event timestamp inside each window is selected algorithmically by either the worst one-hour loss or the largest absolute one-hour move; warnings are then evaluated over the preceding 24-hour horizon. Within that design, the FTX collapse window peaks at 2022-11-08 17:00:00 UTC with a realized one-hour loss of 5.18%, and the ETF whipsaw peaks at 2024-01-11 15:00:00 UTC with a realized absolute move of 3.75%. In both cases, the jump-diffusion engine issues the strongest warning profile and lands closest to the realized loss. At the same time, every one-hour VaR model understates the realized event loss by a wide margin, so the stress section should be interpreted as a warning-comparison exercise rather than a claim of exact crisis prediction.</w:t>
      </w:r>
    </w:p>
    <w:tbl>
      <w:tblPr>
        <w:tblStyle w:val="Table"/>
        <w:tblW w:type="pct" w:w="5000.0"/>
        <w:tblLook w:firstRow="1"/>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event_timestamp</w:t>
            </w:r>
          </w:p>
        </w:tc>
        <w:tc>
          <w:tcPr>
            <w:tcBorders>
              <w:bottom w:val="single"/>
            </w:tcBorders>
            <w:vAlign w:val="bottom"/>
          </w:tcPr>
          <w:p>
            <w:pPr>
              <w:pStyle w:val="Compact"/>
              <w:jc w:val="left"/>
            </w:pPr>
            <w:r>
              <w:t xml:space="preserve">selection_start</w:t>
            </w:r>
          </w:p>
        </w:tc>
        <w:tc>
          <w:tcPr>
            <w:tcBorders>
              <w:bottom w:val="single"/>
            </w:tcBorders>
            <w:vAlign w:val="bottom"/>
          </w:tcPr>
          <w:p>
            <w:pPr>
              <w:pStyle w:val="Compact"/>
              <w:jc w:val="left"/>
            </w:pPr>
            <w:r>
              <w:t xml:space="preserve">selection_end</w:t>
            </w:r>
          </w:p>
        </w:tc>
        <w:tc>
          <w:tcPr>
            <w:tcBorders>
              <w:bottom w:val="single"/>
            </w:tcBorders>
            <w:vAlign w:val="bottom"/>
          </w:tcPr>
          <w:p>
            <w:pPr>
              <w:pStyle w:val="Compact"/>
              <w:jc w:val="left"/>
            </w:pPr>
            <w:r>
              <w:t xml:space="preserve">selection_mode</w:t>
            </w:r>
          </w:p>
        </w:tc>
        <w:tc>
          <w:tcPr>
            <w:tcBorders>
              <w:bottom w:val="single"/>
            </w:tcBorders>
            <w:vAlign w:val="bottom"/>
          </w:tcPr>
          <w:p>
            <w:pPr>
              <w:pStyle w:val="Compact"/>
              <w:jc w:val="left"/>
            </w:pPr>
            <w:r>
              <w:t xml:space="preserve">warning_horizon_hours</w:t>
            </w:r>
          </w:p>
        </w:tc>
        <w:tc>
          <w:tcPr>
            <w:tcBorders>
              <w:bottom w:val="single"/>
            </w:tcBorders>
            <w:vAlign w:val="bottom"/>
          </w:tcPr>
          <w:p>
            <w:pPr>
              <w:pStyle w:val="Compact"/>
              <w:jc w:val="left"/>
            </w:pPr>
            <w:r>
              <w:t xml:space="preserve">event_scope</w:t>
            </w:r>
          </w:p>
        </w:tc>
        <w:tc>
          <w:tcPr>
            <w:tcBorders>
              <w:bottom w:val="single"/>
            </w:tcBorders>
            <w:vAlign w:val="bottom"/>
          </w:tcPr>
          <w:p>
            <w:pPr>
              <w:pStyle w:val="Compact"/>
              <w:jc w:val="left"/>
            </w:pPr>
            <w:r>
              <w:t xml:space="preserve">actual_return</w:t>
            </w:r>
          </w:p>
        </w:tc>
        <w:tc>
          <w:tcPr>
            <w:tcBorders>
              <w:bottom w:val="single"/>
            </w:tcBorders>
            <w:vAlign w:val="bottom"/>
          </w:tcPr>
          <w:p>
            <w:pPr>
              <w:pStyle w:val="Compact"/>
              <w:jc w:val="left"/>
            </w:pPr>
            <w:r>
              <w:t xml:space="preserve">actual_loss</w:t>
            </w:r>
          </w:p>
        </w:tc>
        <w:tc>
          <w:tcPr>
            <w:tcBorders>
              <w:bottom w:val="single"/>
            </w:tcBorders>
            <w:vAlign w:val="bottom"/>
          </w:tcPr>
          <w:p>
            <w:pPr>
              <w:pStyle w:val="Compact"/>
              <w:jc w:val="left"/>
            </w:pPr>
            <w:r>
              <w:t xml:space="preserve">student_t_VaR_loss</w:t>
            </w:r>
          </w:p>
        </w:tc>
        <w:tc>
          <w:tcPr>
            <w:tcBorders>
              <w:bottom w:val="single"/>
            </w:tcBorders>
            <w:vAlign w:val="bottom"/>
          </w:tcPr>
          <w:p>
            <w:pPr>
              <w:pStyle w:val="Compact"/>
              <w:jc w:val="left"/>
            </w:pPr>
            <w:r>
              <w:t xml:space="preserve">mc_VaR_loss</w:t>
            </w:r>
          </w:p>
        </w:tc>
        <w:tc>
          <w:tcPr>
            <w:tcBorders>
              <w:bottom w:val="single"/>
            </w:tcBorders>
            <w:vAlign w:val="bottom"/>
          </w:tcPr>
          <w:p>
            <w:pPr>
              <w:pStyle w:val="Compact"/>
              <w:jc w:val="left"/>
            </w:pPr>
            <w:r>
              <w:t xml:space="preserve">student_t_peak_warning_loss</w:t>
            </w:r>
          </w:p>
        </w:tc>
        <w:tc>
          <w:tcPr>
            <w:tcBorders>
              <w:bottom w:val="single"/>
            </w:tcBorders>
            <w:vAlign w:val="bottom"/>
          </w:tcPr>
          <w:p>
            <w:pPr>
              <w:pStyle w:val="Compact"/>
              <w:jc w:val="left"/>
            </w:pPr>
            <w:r>
              <w:t xml:space="preserve">mc_peak_warning_loss</w:t>
            </w:r>
          </w:p>
        </w:tc>
        <w:tc>
          <w:tcPr>
            <w:tcBorders>
              <w:bottom w:val="single"/>
            </w:tcBorders>
            <w:vAlign w:val="bottom"/>
          </w:tcPr>
          <w:p>
            <w:pPr>
              <w:pStyle w:val="Compact"/>
              <w:jc w:val="left"/>
            </w:pPr>
            <w:r>
              <w:t xml:space="preserve">student_t_peak_warning_hours_before_event</w:t>
            </w:r>
          </w:p>
        </w:tc>
        <w:tc>
          <w:tcPr>
            <w:tcBorders>
              <w:bottom w:val="single"/>
            </w:tcBorders>
            <w:vAlign w:val="bottom"/>
          </w:tcPr>
          <w:p>
            <w:pPr>
              <w:pStyle w:val="Compact"/>
              <w:jc w:val="left"/>
            </w:pPr>
            <w:r>
              <w:t xml:space="preserve">mc_peak_warning_hours_before_event</w:t>
            </w:r>
          </w:p>
        </w:tc>
        <w:tc>
          <w:tcPr>
            <w:tcBorders>
              <w:bottom w:val="single"/>
            </w:tcBorders>
            <w:vAlign w:val="bottom"/>
          </w:tcPr>
          <w:p>
            <w:pPr>
              <w:pStyle w:val="Compact"/>
              <w:jc w:val="left"/>
            </w:pPr>
            <w:r>
              <w:t xml:space="preserve">strongest_warning_model</w:t>
            </w:r>
          </w:p>
        </w:tc>
        <w:tc>
          <w:tcPr>
            <w:tcBorders>
              <w:bottom w:val="single"/>
            </w:tcBorders>
            <w:vAlign w:val="bottom"/>
          </w:tcPr>
          <w:p>
            <w:pPr>
              <w:pStyle w:val="Compact"/>
              <w:jc w:val="left"/>
            </w:pPr>
            <w:r>
              <w:t xml:space="preserve">closest_model_to_realized_loss</w:t>
            </w:r>
          </w:p>
        </w:tc>
      </w:tr>
      <w:tr>
        <w:tc>
          <w:p>
            <w:pPr>
              <w:pStyle w:val="Compact"/>
              <w:jc w:val="left"/>
            </w:pPr>
            <w:r>
              <w:t xml:space="preserve">FTX Collapse</w:t>
            </w:r>
          </w:p>
        </w:tc>
        <w:tc>
          <w:p>
            <w:pPr>
              <w:pStyle w:val="Compact"/>
              <w:jc w:val="left"/>
            </w:pPr>
            <w:r>
              <w:t xml:space="preserve">2022-11-08 17:00:00 UTC</w:t>
            </w:r>
          </w:p>
        </w:tc>
        <w:tc>
          <w:p>
            <w:pPr>
              <w:pStyle w:val="Compact"/>
              <w:jc w:val="left"/>
            </w:pPr>
            <w:r>
              <w:t xml:space="preserve">2022-11-07T00:00:00+00:00</w:t>
            </w:r>
          </w:p>
        </w:tc>
        <w:tc>
          <w:p>
            <w:pPr>
              <w:pStyle w:val="Compact"/>
              <w:jc w:val="left"/>
            </w:pPr>
            <w:r>
              <w:t xml:space="preserve">2022-11-10T23:00:00+00:00</w:t>
            </w:r>
          </w:p>
        </w:tc>
        <w:tc>
          <w:p>
            <w:pPr>
              <w:pStyle w:val="Compact"/>
              <w:jc w:val="left"/>
            </w:pPr>
            <w:r>
              <w:t xml:space="preserve">loss</w:t>
            </w:r>
          </w:p>
        </w:tc>
        <w:tc>
          <w:p>
            <w:pPr>
              <w:pStyle w:val="Compact"/>
              <w:jc w:val="left"/>
            </w:pPr>
            <w:r>
              <w:t xml:space="preserve">24</w:t>
            </w:r>
          </w:p>
        </w:tc>
        <w:tc>
          <w:p>
            <w:pPr>
              <w:pStyle w:val="Compact"/>
              <w:jc w:val="left"/>
            </w:pPr>
            <w:r>
              <w:t xml:space="preserve">pre-specified case study</w:t>
            </w:r>
          </w:p>
        </w:tc>
        <w:tc>
          <w:p>
            <w:pPr>
              <w:pStyle w:val="Compact"/>
              <w:jc w:val="left"/>
            </w:pPr>
            <w:r>
              <w:t xml:space="preserve">-0.0518</w:t>
            </w:r>
          </w:p>
        </w:tc>
        <w:tc>
          <w:p>
            <w:pPr>
              <w:pStyle w:val="Compact"/>
              <w:jc w:val="left"/>
            </w:pPr>
            <w:r>
              <w:t xml:space="preserve">0.0518</w:t>
            </w:r>
          </w:p>
        </w:tc>
        <w:tc>
          <w:p>
            <w:pPr>
              <w:pStyle w:val="Compact"/>
              <w:jc w:val="left"/>
            </w:pPr>
            <w:r>
              <w:t xml:space="preserve">0.0145</w:t>
            </w:r>
          </w:p>
        </w:tc>
        <w:tc>
          <w:p>
            <w:pPr>
              <w:pStyle w:val="Compact"/>
              <w:jc w:val="left"/>
            </w:pPr>
            <w:r>
              <w:t xml:space="preserve">0.0163</w:t>
            </w:r>
          </w:p>
        </w:tc>
        <w:tc>
          <w:p>
            <w:pPr>
              <w:pStyle w:val="Compact"/>
              <w:jc w:val="left"/>
            </w:pPr>
            <w:r>
              <w:t xml:space="preserve">0.0144</w:t>
            </w:r>
          </w:p>
        </w:tc>
        <w:tc>
          <w:p>
            <w:pPr>
              <w:pStyle w:val="Compact"/>
              <w:jc w:val="left"/>
            </w:pPr>
            <w:r>
              <w:t xml:space="preserve">0.0171</w:t>
            </w:r>
          </w:p>
        </w:tc>
        <w:tc>
          <w:p>
            <w:pPr>
              <w:pStyle w:val="Compact"/>
              <w:jc w:val="left"/>
            </w:pPr>
            <w:r>
              <w:t xml:space="preserve">5</w:t>
            </w:r>
          </w:p>
        </w:tc>
        <w:tc>
          <w:p>
            <w:pPr>
              <w:pStyle w:val="Compact"/>
              <w:jc w:val="left"/>
            </w:pPr>
            <w:r>
              <w:t xml:space="preserve">23</w:t>
            </w:r>
          </w:p>
        </w:tc>
        <w:tc>
          <w:p>
            <w:pPr>
              <w:pStyle w:val="Compact"/>
              <w:jc w:val="left"/>
            </w:pPr>
            <w:r>
              <w:t xml:space="preserve">Jump-diffusion MC</w:t>
            </w:r>
          </w:p>
        </w:tc>
        <w:tc>
          <w:p>
            <w:pPr>
              <w:pStyle w:val="Compact"/>
              <w:jc w:val="left"/>
            </w:pPr>
            <w:r>
              <w:t xml:space="preserve">Jump-diffusion MC</w:t>
            </w:r>
          </w:p>
        </w:tc>
      </w:tr>
      <w:tr>
        <w:tc>
          <w:p>
            <w:pPr>
              <w:pStyle w:val="Compact"/>
              <w:jc w:val="left"/>
            </w:pPr>
            <w:r>
              <w:t xml:space="preserve">ETF whipsaw</w:t>
            </w:r>
          </w:p>
        </w:tc>
        <w:tc>
          <w:p>
            <w:pPr>
              <w:pStyle w:val="Compact"/>
              <w:jc w:val="left"/>
            </w:pPr>
            <w:r>
              <w:t xml:space="preserve">2024-01-11 15:00:00 UTC</w:t>
            </w:r>
          </w:p>
        </w:tc>
        <w:tc>
          <w:p>
            <w:pPr>
              <w:pStyle w:val="Compact"/>
              <w:jc w:val="left"/>
            </w:pPr>
            <w:r>
              <w:t xml:space="preserve">2024-01-10T00:00:00+00:00</w:t>
            </w:r>
          </w:p>
        </w:tc>
        <w:tc>
          <w:p>
            <w:pPr>
              <w:pStyle w:val="Compact"/>
              <w:jc w:val="left"/>
            </w:pPr>
            <w:r>
              <w:t xml:space="preserve">2024-01-12T23:00:00+00:00</w:t>
            </w:r>
          </w:p>
        </w:tc>
        <w:tc>
          <w:p>
            <w:pPr>
              <w:pStyle w:val="Compact"/>
              <w:jc w:val="left"/>
            </w:pPr>
            <w:r>
              <w:t xml:space="preserve">absolute</w:t>
            </w:r>
          </w:p>
        </w:tc>
        <w:tc>
          <w:p>
            <w:pPr>
              <w:pStyle w:val="Compact"/>
              <w:jc w:val="left"/>
            </w:pPr>
            <w:r>
              <w:t xml:space="preserve">24</w:t>
            </w:r>
          </w:p>
        </w:tc>
        <w:tc>
          <w:p>
            <w:pPr>
              <w:pStyle w:val="Compact"/>
              <w:jc w:val="left"/>
            </w:pPr>
            <w:r>
              <w:t xml:space="preserve">pre-specified case study</w:t>
            </w:r>
          </w:p>
        </w:tc>
        <w:tc>
          <w:p>
            <w:pPr>
              <w:pStyle w:val="Compact"/>
              <w:jc w:val="left"/>
            </w:pPr>
            <w:r>
              <w:t xml:space="preserve">-0.0375</w:t>
            </w:r>
          </w:p>
        </w:tc>
        <w:tc>
          <w:p>
            <w:pPr>
              <w:pStyle w:val="Compact"/>
              <w:jc w:val="left"/>
            </w:pPr>
            <w:r>
              <w:t xml:space="preserve">0.0375</w:t>
            </w:r>
          </w:p>
        </w:tc>
        <w:tc>
          <w:p>
            <w:pPr>
              <w:pStyle w:val="Compact"/>
              <w:jc w:val="left"/>
            </w:pPr>
            <w:r>
              <w:t xml:space="preserve">0.0123</w:t>
            </w:r>
          </w:p>
        </w:tc>
        <w:tc>
          <w:p>
            <w:pPr>
              <w:pStyle w:val="Compact"/>
              <w:jc w:val="left"/>
            </w:pPr>
            <w:r>
              <w:t xml:space="preserve">0.0129</w:t>
            </w:r>
          </w:p>
        </w:tc>
        <w:tc>
          <w:p>
            <w:pPr>
              <w:pStyle w:val="Compact"/>
              <w:jc w:val="left"/>
            </w:pPr>
            <w:r>
              <w:t xml:space="preserve">0.0122</w:t>
            </w:r>
          </w:p>
        </w:tc>
        <w:tc>
          <w:p>
            <w:pPr>
              <w:pStyle w:val="Compact"/>
              <w:jc w:val="left"/>
            </w:pPr>
            <w:r>
              <w:t xml:space="preserve">0.014</w:t>
            </w:r>
          </w:p>
        </w:tc>
        <w:tc>
          <w:p>
            <w:pPr>
              <w:pStyle w:val="Compact"/>
              <w:jc w:val="left"/>
            </w:pPr>
            <w:r>
              <w:t xml:space="preserve">2</w:t>
            </w:r>
          </w:p>
        </w:tc>
        <w:tc>
          <w:p>
            <w:pPr>
              <w:pStyle w:val="Compact"/>
              <w:jc w:val="left"/>
            </w:pPr>
            <w:r>
              <w:t xml:space="preserve">23</w:t>
            </w:r>
          </w:p>
        </w:tc>
        <w:tc>
          <w:p>
            <w:pPr>
              <w:pStyle w:val="Compact"/>
              <w:jc w:val="left"/>
            </w:pPr>
            <w:r>
              <w:t xml:space="preserve">Jump-diffusion MC</w:t>
            </w:r>
          </w:p>
        </w:tc>
        <w:tc>
          <w:p>
            <w:pPr>
              <w:pStyle w:val="Compact"/>
              <w:jc w:val="left"/>
            </w:pPr>
            <w:r>
              <w:t xml:space="preserve">Jump-diffusion MC</w:t>
            </w:r>
          </w:p>
        </w:tc>
      </w:tr>
    </w:tbl>
    <w:p>
      <w:pPr>
        <w:pStyle w:val="CaptionedFigure"/>
      </w:pPr>
      <w:r>
        <w:drawing>
          <wp:inline>
            <wp:extent cx="5334000" cy="3429000"/>
            <wp:effectExtent b="0" l="0" r="0" t="0"/>
            <wp:docPr descr="Stress warning profiles" title="" id="1" name="Picture"/>
            <a:graphic>
              <a:graphicData uri="http://schemas.openxmlformats.org/drawingml/2006/picture">
                <pic:pic>
                  <pic:nvPicPr>
                    <pic:cNvPr descr="figures/stress_test_warnings.png" id="0" name="Picture"/>
                    <pic:cNvPicPr>
                      <a:picLocks noChangeArrowheads="1" noChangeAspect="1"/>
                    </pic:cNvPicPr>
                  </pic:nvPicPr>
                  <pic:blipFill>
                    <a:blip r:embed="rId3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Stress warning profiles</w:t>
      </w:r>
    </w:p>
    <w:p>
      <w:pPr>
        <w:pStyle w:val="Heading2"/>
      </w:pPr>
      <w:bookmarkStart w:id="40" w:name="time-scale-scaling"/>
      <w:r>
        <w:t xml:space="preserve">Time-Scale Scaling</w:t>
      </w:r>
      <w:bookmarkEnd w:id="40"/>
    </w:p>
    <w:p>
      <w:pPr>
        <w:pStyle w:val="FirstParagraph"/>
      </w:pPr>
      <w:r>
        <w:t xml:space="preserve">The square-root-of-time rule is only partially reliable for Bitcoin. The scaled one-day 99% VaR is 9.43% versus an empirical one-day VaR of 8.74%, while the scaled ten-day VaR is 29.83% against an empirical ten-day VaR of 27.66%. Weak linear autocorrelation in raw returns coexists with persistent autocorrelation in absolute returns, which implies that volatility clustering rather than mean predictability is the main reason naive variance scaling can misstate long-horizon risk.</w:t>
      </w:r>
    </w:p>
    <w:tbl>
      <w:tblPr>
        <w:tblStyle w:val="Table"/>
        <w:tblW w:type="pct" w:w="0.0"/>
        <w:tblLook w:firstRow="1"/>
      </w:tblPr>
      <w:tblGrid/>
      <w:tr>
        <w:trPr>
          <w:cnfStyle w:firstRow="1"/>
        </w:trPr>
        <w:tc>
          <w:tcPr>
            <w:tcBorders>
              <w:bottom w:val="single"/>
            </w:tcBorders>
            <w:vAlign w:val="bottom"/>
          </w:tcPr>
          <w:p>
            <w:pPr>
              <w:pStyle w:val="Compact"/>
              <w:jc w:val="left"/>
            </w:pPr>
            <w:r>
              <w:t xml:space="preserve">horizon</w:t>
            </w:r>
          </w:p>
        </w:tc>
        <w:tc>
          <w:tcPr>
            <w:tcBorders>
              <w:bottom w:val="single"/>
            </w:tcBorders>
            <w:vAlign w:val="bottom"/>
          </w:tcPr>
          <w:p>
            <w:pPr>
              <w:pStyle w:val="Compact"/>
              <w:jc w:val="left"/>
            </w:pPr>
            <w:r>
              <w:t xml:space="preserve">sqrt_time_scaled_VaR</w:t>
            </w:r>
          </w:p>
        </w:tc>
        <w:tc>
          <w:tcPr>
            <w:tcBorders>
              <w:bottom w:val="single"/>
            </w:tcBorders>
            <w:vAlign w:val="bottom"/>
          </w:tcPr>
          <w:p>
            <w:pPr>
              <w:pStyle w:val="Compact"/>
              <w:jc w:val="left"/>
            </w:pPr>
            <w:r>
              <w:t xml:space="preserve">empirical_VaR</w:t>
            </w:r>
          </w:p>
        </w:tc>
        <w:tc>
          <w:tcPr>
            <w:tcBorders>
              <w:bottom w:val="single"/>
            </w:tcBorders>
            <w:vAlign w:val="bottom"/>
          </w:tcPr>
          <w:p>
            <w:pPr>
              <w:pStyle w:val="Compact"/>
              <w:jc w:val="left"/>
            </w:pPr>
            <w:r>
              <w:t xml:space="preserve">scaling_bias_pct</w:t>
            </w:r>
          </w:p>
        </w:tc>
      </w:tr>
      <w:tr>
        <w:tc>
          <w:p>
            <w:pPr>
              <w:pStyle w:val="Compact"/>
              <w:jc w:val="left"/>
            </w:pPr>
            <w:r>
              <w:t xml:space="preserve">1 day</w:t>
            </w:r>
          </w:p>
        </w:tc>
        <w:tc>
          <w:p>
            <w:pPr>
              <w:pStyle w:val="Compact"/>
              <w:jc w:val="left"/>
            </w:pPr>
            <w:r>
              <w:t xml:space="preserve">0.0943</w:t>
            </w:r>
          </w:p>
        </w:tc>
        <w:tc>
          <w:p>
            <w:pPr>
              <w:pStyle w:val="Compact"/>
              <w:jc w:val="left"/>
            </w:pPr>
            <w:r>
              <w:t xml:space="preserve">0.0874</w:t>
            </w:r>
          </w:p>
        </w:tc>
        <w:tc>
          <w:p>
            <w:pPr>
              <w:pStyle w:val="Compact"/>
              <w:jc w:val="left"/>
            </w:pPr>
            <w:r>
              <w:t xml:space="preserve">7.9691</w:t>
            </w:r>
          </w:p>
        </w:tc>
      </w:tr>
      <w:tr>
        <w:tc>
          <w:p>
            <w:pPr>
              <w:pStyle w:val="Compact"/>
              <w:jc w:val="left"/>
            </w:pPr>
            <w:r>
              <w:t xml:space="preserve">10 days</w:t>
            </w:r>
          </w:p>
        </w:tc>
        <w:tc>
          <w:p>
            <w:pPr>
              <w:pStyle w:val="Compact"/>
              <w:jc w:val="left"/>
            </w:pPr>
            <w:r>
              <w:t xml:space="preserve">0.2983</w:t>
            </w:r>
          </w:p>
        </w:tc>
        <w:tc>
          <w:p>
            <w:pPr>
              <w:pStyle w:val="Compact"/>
              <w:jc w:val="left"/>
            </w:pPr>
            <w:r>
              <w:t xml:space="preserve">0.2766</w:t>
            </w:r>
          </w:p>
        </w:tc>
        <w:tc>
          <w:p>
            <w:pPr>
              <w:pStyle w:val="Compact"/>
              <w:jc w:val="left"/>
            </w:pPr>
            <w:r>
              <w:t xml:space="preserve">7.8213</w:t>
            </w:r>
          </w:p>
        </w:tc>
      </w:tr>
    </w:tbl>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return_autocorr_lag1</w:t>
            </w:r>
          </w:p>
        </w:tc>
        <w:tc>
          <w:tcPr>
            <w:tcBorders>
              <w:bottom w:val="single"/>
            </w:tcBorders>
            <w:vAlign w:val="bottom"/>
          </w:tcPr>
          <w:p>
            <w:pPr>
              <w:pStyle w:val="Compact"/>
              <w:jc w:val="left"/>
            </w:pPr>
            <w:r>
              <w:t xml:space="preserve">return_autocorr_lag24</w:t>
            </w:r>
          </w:p>
        </w:tc>
        <w:tc>
          <w:tcPr>
            <w:tcBorders>
              <w:bottom w:val="single"/>
            </w:tcBorders>
            <w:vAlign w:val="bottom"/>
          </w:tcPr>
          <w:p>
            <w:pPr>
              <w:pStyle w:val="Compact"/>
              <w:jc w:val="left"/>
            </w:pPr>
            <w:r>
              <w:t xml:space="preserve">abs_return_autocorr_lag1</w:t>
            </w:r>
          </w:p>
        </w:tc>
        <w:tc>
          <w:tcPr>
            <w:tcBorders>
              <w:bottom w:val="single"/>
            </w:tcBorders>
            <w:vAlign w:val="bottom"/>
          </w:tcPr>
          <w:p>
            <w:pPr>
              <w:pStyle w:val="Compact"/>
              <w:jc w:val="left"/>
            </w:pPr>
            <w:r>
              <w:t xml:space="preserve">abs_return_autocorr_lag24</w:t>
            </w:r>
          </w:p>
        </w:tc>
        <w:tc>
          <w:tcPr>
            <w:tcBorders>
              <w:bottom w:val="single"/>
            </w:tcBorders>
            <w:vAlign w:val="bottom"/>
          </w:tcPr>
          <w:p>
            <w:pPr>
              <w:pStyle w:val="Compact"/>
              <w:jc w:val="left"/>
            </w:pPr>
            <w:r>
              <w:t xml:space="preserve">ljung_box_return_pvalue_lag24</w:t>
            </w:r>
          </w:p>
        </w:tc>
        <w:tc>
          <w:tcPr>
            <w:tcBorders>
              <w:bottom w:val="single"/>
            </w:tcBorders>
            <w:vAlign w:val="bottom"/>
          </w:tcPr>
          <w:p>
            <w:pPr>
              <w:pStyle w:val="Compact"/>
              <w:jc w:val="left"/>
            </w:pPr>
            <w:r>
              <w:t xml:space="preserve">ljung_box_abs_return_pvalue_lag24</w:t>
            </w:r>
          </w:p>
        </w:tc>
      </w:tr>
      <w:tr>
        <w:tc>
          <w:p>
            <w:pPr>
              <w:pStyle w:val="Compact"/>
              <w:jc w:val="left"/>
            </w:pPr>
            <w:r>
              <w:t xml:space="preserve">-0.0047</w:t>
            </w:r>
          </w:p>
        </w:tc>
        <w:tc>
          <w:p>
            <w:pPr>
              <w:pStyle w:val="Compact"/>
              <w:jc w:val="left"/>
            </w:pPr>
            <w:r>
              <w:t xml:space="preserve">-0.0262</w:t>
            </w:r>
          </w:p>
        </w:tc>
        <w:tc>
          <w:p>
            <w:pPr>
              <w:pStyle w:val="Compact"/>
              <w:jc w:val="left"/>
            </w:pPr>
            <w:r>
              <w:t xml:space="preserve">0.2847</w:t>
            </w:r>
          </w:p>
        </w:tc>
        <w:tc>
          <w:p>
            <w:pPr>
              <w:pStyle w:val="Compact"/>
              <w:jc w:val="left"/>
            </w:pPr>
            <w:r>
              <w:t xml:space="preserve">0.1904</w:t>
            </w:r>
          </w:p>
        </w:tc>
        <w:tc>
          <w:p>
            <w:pPr>
              <w:pStyle w:val="Compact"/>
              <w:jc w:val="left"/>
            </w:pPr>
            <w:r>
              <w:t xml:space="preserve">&lt;0.0001</w:t>
            </w:r>
          </w:p>
        </w:tc>
        <w:tc>
          <w:p>
            <w:pPr>
              <w:pStyle w:val="Compact"/>
              <w:jc w:val="left"/>
            </w:pPr>
            <w:r>
              <w:t xml:space="preserve">&lt;0.0001</w:t>
            </w:r>
          </w:p>
        </w:tc>
      </w:tr>
    </w:tbl>
    <w:p>
      <w:pPr>
        <w:pStyle w:val="Heading2"/>
      </w:pPr>
      <w:bookmarkStart w:id="41" w:name="practical-implications"/>
      <w:r>
        <w:t xml:space="preserve">Practical Implications</w:t>
      </w:r>
      <w:bookmarkEnd w:id="41"/>
    </w:p>
    <w:p>
      <w:pPr>
        <w:pStyle w:val="FirstParagraph"/>
      </w:pPr>
      <w:r>
        <w:t xml:space="preserve">For a hypothetical $1 million BTC spot position, the largest 24-hour VaR capital estimate in the current snapshot is $82,946.43. These are market-risk numbers rather than liquidity-adjusted exit costs. For committee reporting, the jump-diffusion estimates are the more conservative baseline, while the LSTM is more appropriate as an intraday surveillance overlay.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position_notional_usd</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horizon_hours</w:t>
            </w:r>
          </w:p>
        </w:tc>
        <w:tc>
          <w:tcPr>
            <w:tcBorders>
              <w:bottom w:val="single"/>
            </w:tcBorders>
            <w:vAlign w:val="bottom"/>
          </w:tcPr>
          <w:p>
            <w:pPr>
              <w:pStyle w:val="Compact"/>
              <w:jc w:val="left"/>
            </w:pPr>
            <w:r>
              <w:t xml:space="preserve">VaR_capital_usd</w:t>
            </w:r>
          </w:p>
        </w:tc>
        <w:tc>
          <w:tcPr>
            <w:tcBorders>
              <w:bottom w:val="single"/>
            </w:tcBorders>
            <w:vAlign w:val="bottom"/>
          </w:tcPr>
          <w:p>
            <w:pPr>
              <w:pStyle w:val="Compact"/>
              <w:jc w:val="left"/>
            </w:pPr>
            <w:r>
              <w:t xml:space="preserve">CVaR_capital_usd</w:t>
            </w:r>
          </w:p>
        </w:tc>
      </w:tr>
      <w:tr>
        <w:tc>
          <w:p>
            <w:pPr>
              <w:pStyle w:val="Compact"/>
              <w:jc w:val="left"/>
            </w:pPr>
            <w:r>
              <w:t xml:space="preserve">1000000</w:t>
            </w:r>
          </w:p>
        </w:tc>
        <w:tc>
          <w:p>
            <w:pPr>
              <w:pStyle w:val="Compact"/>
              <w:jc w:val="left"/>
            </w:pPr>
            <w:r>
              <w:t xml:space="preserve">Jump-diffusion MC</w:t>
            </w:r>
          </w:p>
        </w:tc>
        <w:tc>
          <w:p>
            <w:pPr>
              <w:pStyle w:val="Compact"/>
              <w:jc w:val="left"/>
            </w:pPr>
            <w:r>
              <w:t xml:space="preserve">1</w:t>
            </w:r>
          </w:p>
        </w:tc>
        <w:tc>
          <w:p>
            <w:pPr>
              <w:pStyle w:val="Compact"/>
              <w:jc w:val="left"/>
            </w:pPr>
            <w:r>
              <w:t xml:space="preserve">16276.37</w:t>
            </w:r>
          </w:p>
        </w:tc>
        <w:tc>
          <w:p>
            <w:pPr>
              <w:pStyle w:val="Compact"/>
              <w:jc w:val="left"/>
            </w:pPr>
            <w:r>
              <w:t xml:space="preserve">28112.64</w:t>
            </w:r>
          </w:p>
        </w:tc>
      </w:tr>
      <w:tr>
        <w:tc>
          <w:p>
            <w:pPr>
              <w:pStyle w:val="Compact"/>
              <w:jc w:val="left"/>
            </w:pPr>
            <w:r>
              <w:t xml:space="preserve">1000000</w:t>
            </w:r>
          </w:p>
        </w:tc>
        <w:tc>
          <w:p>
            <w:pPr>
              <w:pStyle w:val="Compact"/>
              <w:jc w:val="left"/>
            </w:pPr>
            <w:r>
              <w:t xml:space="preserve">Student-t param.</w:t>
            </w:r>
          </w:p>
        </w:tc>
        <w:tc>
          <w:p>
            <w:pPr>
              <w:pStyle w:val="Compact"/>
              <w:jc w:val="left"/>
            </w:pPr>
            <w:r>
              <w:t xml:space="preserve">1</w:t>
            </w:r>
          </w:p>
        </w:tc>
        <w:tc>
          <w:p>
            <w:pPr>
              <w:pStyle w:val="Compact"/>
              <w:jc w:val="left"/>
            </w:pPr>
            <w:r>
              <w:t xml:space="preserve">14655.86</w:t>
            </w:r>
          </w:p>
        </w:tc>
        <w:tc>
          <w:p>
            <w:pPr>
              <w:pStyle w:val="Compact"/>
              <w:jc w:val="left"/>
            </w:pPr>
            <w:r>
              <w:t xml:space="preserve">19350.76</w:t>
            </w:r>
          </w:p>
        </w:tc>
      </w:tr>
      <w:tr>
        <w:tc>
          <w:p>
            <w:pPr>
              <w:pStyle w:val="Compact"/>
              <w:jc w:val="left"/>
            </w:pPr>
            <w:r>
              <w:t xml:space="preserve">1000000</w:t>
            </w:r>
          </w:p>
        </w:tc>
        <w:tc>
          <w:p>
            <w:pPr>
              <w:pStyle w:val="Compact"/>
              <w:jc w:val="left"/>
            </w:pPr>
            <w:r>
              <w:t xml:space="preserve">Gaussian VaR</w:t>
            </w:r>
          </w:p>
        </w:tc>
        <w:tc>
          <w:p>
            <w:pPr>
              <w:pStyle w:val="Compact"/>
              <w:jc w:val="left"/>
            </w:pPr>
            <w:r>
              <w:t xml:space="preserve">1</w:t>
            </w:r>
          </w:p>
        </w:tc>
        <w:tc>
          <w:p>
            <w:pPr>
              <w:pStyle w:val="Compact"/>
              <w:jc w:val="left"/>
            </w:pPr>
            <w:r>
              <w:t xml:space="preserve">13094.56</w:t>
            </w:r>
          </w:p>
        </w:tc>
        <w:tc>
          <w:p>
            <w:pPr>
              <w:pStyle w:val="Compact"/>
              <w:jc w:val="left"/>
            </w:pPr>
            <w:r>
              <w:t xml:space="preserve">14984.39</w:t>
            </w:r>
          </w:p>
        </w:tc>
      </w:tr>
      <w:tr>
        <w:tc>
          <w:p>
            <w:pPr>
              <w:pStyle w:val="Compact"/>
              <w:jc w:val="left"/>
            </w:pPr>
            <w:r>
              <w:t xml:space="preserve">1000000</w:t>
            </w:r>
          </w:p>
        </w:tc>
        <w:tc>
          <w:p>
            <w:pPr>
              <w:pStyle w:val="Compact"/>
              <w:jc w:val="left"/>
            </w:pPr>
            <w:r>
              <w:t xml:space="preserve">VAE</w:t>
            </w:r>
          </w:p>
        </w:tc>
        <w:tc>
          <w:p>
            <w:pPr>
              <w:pStyle w:val="Compact"/>
              <w:jc w:val="left"/>
            </w:pPr>
            <w:r>
              <w:t xml:space="preserve">1</w:t>
            </w:r>
          </w:p>
        </w:tc>
        <w:tc>
          <w:p>
            <w:pPr>
              <w:pStyle w:val="Compact"/>
              <w:jc w:val="left"/>
            </w:pPr>
            <w:r>
              <w:t xml:space="preserve">11732.93</w:t>
            </w:r>
          </w:p>
        </w:tc>
        <w:tc>
          <w:p>
            <w:pPr>
              <w:pStyle w:val="Compact"/>
              <w:jc w:val="left"/>
            </w:pPr>
            <w:r>
              <w:t xml:space="preserve">14385.96</w:t>
            </w:r>
          </w:p>
        </w:tc>
      </w:tr>
      <w:tr>
        <w:tc>
          <w:p>
            <w:pPr>
              <w:pStyle w:val="Compact"/>
              <w:jc w:val="left"/>
            </w:pPr>
            <w:r>
              <w:t xml:space="preserve">1000000</w:t>
            </w:r>
          </w:p>
        </w:tc>
        <w:tc>
          <w:p>
            <w:pPr>
              <w:pStyle w:val="Compact"/>
              <w:jc w:val="left"/>
            </w:pPr>
            <w:r>
              <w:t xml:space="preserve">LSTM</w:t>
            </w:r>
          </w:p>
        </w:tc>
        <w:tc>
          <w:p>
            <w:pPr>
              <w:pStyle w:val="Compact"/>
              <w:jc w:val="left"/>
            </w:pPr>
            <w:r>
              <w:t xml:space="preserve">1</w:t>
            </w:r>
          </w:p>
        </w:tc>
        <w:tc>
          <w:p>
            <w:pPr>
              <w:pStyle w:val="Compact"/>
              <w:jc w:val="left"/>
            </w:pPr>
            <w:r>
              <w:t xml:space="preserve">11576.58</w:t>
            </w:r>
          </w:p>
        </w:tc>
        <w:tc>
          <w:p>
            <w:pPr>
              <w:pStyle w:val="Compact"/>
              <w:jc w:val="left"/>
            </w:pPr>
            <w:r>
              <w:t xml:space="preserve">15282.24</w:t>
            </w:r>
          </w:p>
        </w:tc>
      </w:tr>
      <w:tr>
        <w:tc>
          <w:p>
            <w:pPr>
              <w:pStyle w:val="Compact"/>
              <w:jc w:val="left"/>
            </w:pPr>
            <w:r>
              <w:t xml:space="preserve">1000000</w:t>
            </w:r>
          </w:p>
        </w:tc>
        <w:tc>
          <w:p>
            <w:pPr>
              <w:pStyle w:val="Compact"/>
              <w:jc w:val="left"/>
            </w:pPr>
            <w:r>
              <w:t xml:space="preserve">Jump-diffusion MC</w:t>
            </w:r>
          </w:p>
        </w:tc>
        <w:tc>
          <w:p>
            <w:pPr>
              <w:pStyle w:val="Compact"/>
              <w:jc w:val="left"/>
            </w:pPr>
            <w:r>
              <w:t xml:space="preserve">24</w:t>
            </w:r>
          </w:p>
        </w:tc>
        <w:tc>
          <w:p>
            <w:pPr>
              <w:pStyle w:val="Compact"/>
              <w:jc w:val="left"/>
            </w:pPr>
            <w:r>
              <w:t xml:space="preserve">82946.43</w:t>
            </w:r>
          </w:p>
        </w:tc>
        <w:tc>
          <w:p>
            <w:pPr>
              <w:pStyle w:val="Compact"/>
              <w:jc w:val="left"/>
            </w:pPr>
            <w:r>
              <w:t xml:space="preserve">96006.01</w:t>
            </w:r>
          </w:p>
        </w:tc>
      </w:tr>
      <w:tr>
        <w:tc>
          <w:p>
            <w:pPr>
              <w:pStyle w:val="Compact"/>
              <w:jc w:val="left"/>
            </w:pPr>
            <w:r>
              <w:t xml:space="preserve">1000000</w:t>
            </w:r>
          </w:p>
        </w:tc>
        <w:tc>
          <w:p>
            <w:pPr>
              <w:pStyle w:val="Compact"/>
              <w:jc w:val="left"/>
            </w:pPr>
            <w:r>
              <w:t xml:space="preserve">Student-t param.</w:t>
            </w:r>
          </w:p>
        </w:tc>
        <w:tc>
          <w:p>
            <w:pPr>
              <w:pStyle w:val="Compact"/>
              <w:jc w:val="left"/>
            </w:pPr>
            <w:r>
              <w:t xml:space="preserve">24</w:t>
            </w:r>
          </w:p>
        </w:tc>
        <w:tc>
          <w:p>
            <w:pPr>
              <w:pStyle w:val="Compact"/>
              <w:jc w:val="left"/>
            </w:pPr>
            <w:r>
              <w:t xml:space="preserve">67183.15</w:t>
            </w:r>
          </w:p>
        </w:tc>
        <w:tc>
          <w:p>
            <w:pPr>
              <w:pStyle w:val="Compact"/>
              <w:jc w:val="left"/>
            </w:pPr>
            <w:r>
              <w:t xml:space="preserve">77946.75</w:t>
            </w:r>
          </w:p>
        </w:tc>
      </w:tr>
      <w:tr>
        <w:tc>
          <w:p>
            <w:pPr>
              <w:pStyle w:val="Compact"/>
              <w:jc w:val="left"/>
            </w:pPr>
            <w:r>
              <w:t xml:space="preserve">1000000</w:t>
            </w:r>
          </w:p>
        </w:tc>
        <w:tc>
          <w:p>
            <w:pPr>
              <w:pStyle w:val="Compact"/>
              <w:jc w:val="left"/>
            </w:pPr>
            <w:r>
              <w:t xml:space="preserve">Gaussian VaR</w:t>
            </w:r>
          </w:p>
        </w:tc>
        <w:tc>
          <w:p>
            <w:pPr>
              <w:pStyle w:val="Compact"/>
              <w:jc w:val="left"/>
            </w:pPr>
            <w:r>
              <w:t xml:space="preserve">24</w:t>
            </w:r>
          </w:p>
        </w:tc>
        <w:tc>
          <w:p>
            <w:pPr>
              <w:pStyle w:val="Compact"/>
              <w:jc w:val="left"/>
            </w:pPr>
            <w:r>
              <w:t xml:space="preserve">66455.78</w:t>
            </w:r>
          </w:p>
        </w:tc>
        <w:tc>
          <w:p>
            <w:pPr>
              <w:pStyle w:val="Compact"/>
              <w:jc w:val="left"/>
            </w:pPr>
            <w:r>
              <w:t xml:space="preserve">75714.02</w:t>
            </w:r>
          </w:p>
        </w:tc>
      </w:tr>
      <w:tr>
        <w:tc>
          <w:p>
            <w:pPr>
              <w:pStyle w:val="Compact"/>
              <w:jc w:val="left"/>
            </w:pPr>
            <w:r>
              <w:t xml:space="preserve">1000000</w:t>
            </w:r>
          </w:p>
        </w:tc>
        <w:tc>
          <w:p>
            <w:pPr>
              <w:pStyle w:val="Compact"/>
              <w:jc w:val="left"/>
            </w:pPr>
            <w:r>
              <w:t xml:space="preserve">VAE</w:t>
            </w:r>
          </w:p>
        </w:tc>
        <w:tc>
          <w:p>
            <w:pPr>
              <w:pStyle w:val="Compact"/>
              <w:jc w:val="left"/>
            </w:pPr>
            <w:r>
              <w:t xml:space="preserve">24</w:t>
            </w:r>
          </w:p>
        </w:tc>
        <w:tc>
          <w:p>
            <w:pPr>
              <w:pStyle w:val="Compact"/>
              <w:jc w:val="left"/>
            </w:pPr>
            <w:r>
              <w:t xml:space="preserve">41882.46</w:t>
            </w:r>
          </w:p>
        </w:tc>
        <w:tc>
          <w:p>
            <w:pPr>
              <w:pStyle w:val="Compact"/>
              <w:jc w:val="left"/>
            </w:pPr>
            <w:r>
              <w:t xml:space="preserve">48609.76</w:t>
            </w:r>
          </w:p>
        </w:tc>
      </w:tr>
    </w:tbl>
    <w:p>
      <w:pPr>
        <w:pStyle w:val="Heading2"/>
      </w:pPr>
      <w:bookmarkStart w:id="42" w:name="backtesting"/>
      <w:r>
        <w:t xml:space="preserve">Backtesting</w:t>
      </w:r>
      <w:bookmarkEnd w:id="42"/>
    </w:p>
    <w:p>
      <w:pPr>
        <w:pStyle w:val="FirstParagraph"/>
      </w:pPr>
      <w:r>
        <w:t xml:space="preserve">The last-year backtest evaluates 8,761 one-hour forecasts against a 1% tail target using both Kupiec’s unconditional coverage test and Christoffersen’s independence and conditional-coverage diagnostics (Kupiec, 1995; Christoffersen, 1998). LSTM cond. VaR delivers the strongest joint result with a conditional-coverage p-value of 0.078, while the Gaussian benchmark posts a Kupiec p-value of 0.000 and a conditional-coverage p-value of 0.000. At the 5% significance level, Gaussian VaR, Student-t VaR, Jump-diffusion MC, and VAE latent VaR are rejected by the conditional-coverage test, whereas LSTM cond. VaR is not rejected. That pattern suggests that conditional adaptation improves tail calibration on this holdout window, but it is still evidence about this sample path rather than proof that one specification dominates in every regime.</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observations</w:t>
            </w:r>
          </w:p>
        </w:tc>
        <w:tc>
          <w:tcPr>
            <w:tcBorders>
              <w:bottom w:val="single"/>
            </w:tcBorders>
            <w:vAlign w:val="bottom"/>
          </w:tcPr>
          <w:p>
            <w:pPr>
              <w:pStyle w:val="Compact"/>
              <w:jc w:val="left"/>
            </w:pPr>
            <w:r>
              <w:t xml:space="preserve">violations</w:t>
            </w:r>
          </w:p>
        </w:tc>
        <w:tc>
          <w:tcPr>
            <w:tcBorders>
              <w:bottom w:val="single"/>
            </w:tcBorders>
            <w:vAlign w:val="bottom"/>
          </w:tcPr>
          <w:p>
            <w:pPr>
              <w:pStyle w:val="Compact"/>
              <w:jc w:val="left"/>
            </w:pPr>
            <w:r>
              <w:t xml:space="preserve">expected_violation_rate</w:t>
            </w:r>
          </w:p>
        </w:tc>
        <w:tc>
          <w:tcPr>
            <w:tcBorders>
              <w:bottom w:val="single"/>
            </w:tcBorders>
            <w:vAlign w:val="bottom"/>
          </w:tcPr>
          <w:p>
            <w:pPr>
              <w:pStyle w:val="Compact"/>
              <w:jc w:val="left"/>
            </w:pPr>
            <w:r>
              <w:t xml:space="preserve">observed_violation_rate</w:t>
            </w:r>
          </w:p>
        </w:tc>
        <w:tc>
          <w:tcPr>
            <w:tcBorders>
              <w:bottom w:val="single"/>
            </w:tcBorders>
            <w:vAlign w:val="bottom"/>
          </w:tcPr>
          <w:p>
            <w:pPr>
              <w:pStyle w:val="Compact"/>
              <w:jc w:val="left"/>
            </w:pPr>
            <w:r>
              <w:t xml:space="preserve">kupiec_pvalue</w:t>
            </w:r>
          </w:p>
        </w:tc>
        <w:tc>
          <w:tcPr>
            <w:tcBorders>
              <w:bottom w:val="single"/>
            </w:tcBorders>
            <w:vAlign w:val="bottom"/>
          </w:tcPr>
          <w:p>
            <w:pPr>
              <w:pStyle w:val="Compact"/>
              <w:jc w:val="left"/>
            </w:pPr>
            <w:r>
              <w:t xml:space="preserve">christoffersen_ind_pvalue</w:t>
            </w:r>
          </w:p>
        </w:tc>
        <w:tc>
          <w:tcPr>
            <w:tcBorders>
              <w:bottom w:val="single"/>
            </w:tcBorders>
            <w:vAlign w:val="bottom"/>
          </w:tcPr>
          <w:p>
            <w:pPr>
              <w:pStyle w:val="Compact"/>
              <w:jc w:val="left"/>
            </w:pPr>
            <w:r>
              <w:t xml:space="preserve">christoffersen_cc_pvalue</w:t>
            </w:r>
          </w:p>
        </w:tc>
      </w:tr>
      <w:tr>
        <w:tc>
          <w:p>
            <w:pPr>
              <w:pStyle w:val="Compact"/>
              <w:jc w:val="left"/>
            </w:pPr>
            <w:r>
              <w:t xml:space="preserve">Gaussian VaR</w:t>
            </w:r>
          </w:p>
        </w:tc>
        <w:tc>
          <w:p>
            <w:pPr>
              <w:pStyle w:val="Compact"/>
              <w:jc w:val="left"/>
            </w:pPr>
            <w:r>
              <w:t xml:space="preserve">8761</w:t>
            </w:r>
          </w:p>
        </w:tc>
        <w:tc>
          <w:p>
            <w:pPr>
              <w:pStyle w:val="Compact"/>
              <w:jc w:val="left"/>
            </w:pPr>
            <w:r>
              <w:t xml:space="preserve">184</w:t>
            </w:r>
          </w:p>
        </w:tc>
        <w:tc>
          <w:p>
            <w:pPr>
              <w:pStyle w:val="Compact"/>
              <w:jc w:val="left"/>
            </w:pPr>
            <w:r>
              <w:t xml:space="preserve">0.01</w:t>
            </w:r>
          </w:p>
        </w:tc>
        <w:tc>
          <w:p>
            <w:pPr>
              <w:pStyle w:val="Compact"/>
              <w:jc w:val="left"/>
            </w:pPr>
            <w:r>
              <w:t xml:space="preserve">0.021</w:t>
            </w:r>
          </w:p>
        </w:tc>
        <w:tc>
          <w:p>
            <w:pPr>
              <w:pStyle w:val="Compact"/>
              <w:jc w:val="left"/>
            </w:pPr>
            <w:r>
              <w:t xml:space="preserve">&lt;0.0001</w:t>
            </w:r>
          </w:p>
        </w:tc>
        <w:tc>
          <w:p>
            <w:pPr>
              <w:pStyle w:val="Compact"/>
              <w:jc w:val="left"/>
            </w:pPr>
            <w:r>
              <w:t xml:space="preserve">&lt;0.0001</w:t>
            </w:r>
          </w:p>
        </w:tc>
        <w:tc>
          <w:p>
            <w:pPr>
              <w:pStyle w:val="Compact"/>
              <w:jc w:val="left"/>
            </w:pPr>
            <w:r>
              <w:t xml:space="preserve">&lt;0.0001</w:t>
            </w:r>
          </w:p>
        </w:tc>
      </w:tr>
      <w:tr>
        <w:tc>
          <w:p>
            <w:pPr>
              <w:pStyle w:val="Compact"/>
              <w:jc w:val="left"/>
            </w:pPr>
            <w:r>
              <w:t xml:space="preserve">Student-t VaR</w:t>
            </w:r>
          </w:p>
        </w:tc>
        <w:tc>
          <w:p>
            <w:pPr>
              <w:pStyle w:val="Compact"/>
              <w:jc w:val="left"/>
            </w:pPr>
            <w:r>
              <w:t xml:space="preserve">8761</w:t>
            </w:r>
          </w:p>
        </w:tc>
        <w:tc>
          <w:p>
            <w:pPr>
              <w:pStyle w:val="Compact"/>
              <w:jc w:val="left"/>
            </w:pPr>
            <w:r>
              <w:t xml:space="preserve">129</w:t>
            </w:r>
          </w:p>
        </w:tc>
        <w:tc>
          <w:p>
            <w:pPr>
              <w:pStyle w:val="Compact"/>
              <w:jc w:val="left"/>
            </w:pPr>
            <w:r>
              <w:t xml:space="preserve">0.01</w:t>
            </w:r>
          </w:p>
        </w:tc>
        <w:tc>
          <w:p>
            <w:pPr>
              <w:pStyle w:val="Compact"/>
              <w:jc w:val="left"/>
            </w:pPr>
            <w:r>
              <w:t xml:space="preserve">0.0147</w:t>
            </w:r>
          </w:p>
        </w:tc>
        <w:tc>
          <w:p>
            <w:pPr>
              <w:pStyle w:val="Compact"/>
              <w:jc w:val="left"/>
            </w:pPr>
            <w:r>
              <w:t xml:space="preserve">&lt;0.0001</w:t>
            </w:r>
          </w:p>
        </w:tc>
        <w:tc>
          <w:p>
            <w:pPr>
              <w:pStyle w:val="Compact"/>
              <w:jc w:val="left"/>
            </w:pPr>
            <w:r>
              <w:t xml:space="preserve">0.0001</w:t>
            </w:r>
          </w:p>
        </w:tc>
        <w:tc>
          <w:p>
            <w:pPr>
              <w:pStyle w:val="Compact"/>
              <w:jc w:val="left"/>
            </w:pPr>
            <w:r>
              <w:t xml:space="preserve">&lt;0.0001</w:t>
            </w:r>
          </w:p>
        </w:tc>
      </w:tr>
      <w:tr>
        <w:tc>
          <w:p>
            <w:pPr>
              <w:pStyle w:val="Compact"/>
              <w:jc w:val="left"/>
            </w:pPr>
            <w:r>
              <w:t xml:space="preserve">Jump-diffusion MC</w:t>
            </w:r>
          </w:p>
        </w:tc>
        <w:tc>
          <w:p>
            <w:pPr>
              <w:pStyle w:val="Compact"/>
              <w:jc w:val="left"/>
            </w:pPr>
            <w:r>
              <w:t xml:space="preserve">8761</w:t>
            </w:r>
          </w:p>
        </w:tc>
        <w:tc>
          <w:p>
            <w:pPr>
              <w:pStyle w:val="Compact"/>
              <w:jc w:val="left"/>
            </w:pPr>
            <w:r>
              <w:t xml:space="preserve">110</w:t>
            </w:r>
          </w:p>
        </w:tc>
        <w:tc>
          <w:p>
            <w:pPr>
              <w:pStyle w:val="Compact"/>
              <w:jc w:val="left"/>
            </w:pPr>
            <w:r>
              <w:t xml:space="preserve">0.01</w:t>
            </w:r>
          </w:p>
        </w:tc>
        <w:tc>
          <w:p>
            <w:pPr>
              <w:pStyle w:val="Compact"/>
              <w:jc w:val="left"/>
            </w:pPr>
            <w:r>
              <w:t xml:space="preserve">0.0126</w:t>
            </w:r>
          </w:p>
        </w:tc>
        <w:tc>
          <w:p>
            <w:pPr>
              <w:pStyle w:val="Compact"/>
              <w:jc w:val="left"/>
            </w:pPr>
            <w:r>
              <w:t xml:space="preserve">0.0208</w:t>
            </w:r>
          </w:p>
        </w:tc>
        <w:tc>
          <w:p>
            <w:pPr>
              <w:pStyle w:val="Compact"/>
              <w:jc w:val="left"/>
            </w:pPr>
            <w:r>
              <w:t xml:space="preserve">0.0005</w:t>
            </w:r>
          </w:p>
        </w:tc>
        <w:tc>
          <w:p>
            <w:pPr>
              <w:pStyle w:val="Compact"/>
              <w:jc w:val="left"/>
            </w:pPr>
            <w:r>
              <w:t xml:space="preserve">0.0002</w:t>
            </w:r>
          </w:p>
        </w:tc>
      </w:tr>
      <w:tr>
        <w:tc>
          <w:p>
            <w:pPr>
              <w:pStyle w:val="Compact"/>
              <w:jc w:val="left"/>
            </w:pPr>
            <w:r>
              <w:t xml:space="preserve">LSTM cond. VaR</w:t>
            </w:r>
          </w:p>
        </w:tc>
        <w:tc>
          <w:p>
            <w:pPr>
              <w:pStyle w:val="Compact"/>
              <w:jc w:val="left"/>
            </w:pPr>
            <w:r>
              <w:t xml:space="preserve">8761</w:t>
            </w:r>
          </w:p>
        </w:tc>
        <w:tc>
          <w:p>
            <w:pPr>
              <w:pStyle w:val="Compact"/>
              <w:jc w:val="left"/>
            </w:pPr>
            <w:r>
              <w:t xml:space="preserve">72</w:t>
            </w:r>
          </w:p>
        </w:tc>
        <w:tc>
          <w:p>
            <w:pPr>
              <w:pStyle w:val="Compact"/>
              <w:jc w:val="left"/>
            </w:pPr>
            <w:r>
              <w:t xml:space="preserve">0.01</w:t>
            </w:r>
          </w:p>
        </w:tc>
        <w:tc>
          <w:p>
            <w:pPr>
              <w:pStyle w:val="Compact"/>
              <w:jc w:val="left"/>
            </w:pPr>
            <w:r>
              <w:t xml:space="preserve">0.0082</w:t>
            </w:r>
          </w:p>
        </w:tc>
        <w:tc>
          <w:p>
            <w:pPr>
              <w:pStyle w:val="Compact"/>
              <w:jc w:val="left"/>
            </w:pPr>
            <w:r>
              <w:t xml:space="preserve">0.0837</w:t>
            </w:r>
          </w:p>
        </w:tc>
        <w:tc>
          <w:p>
            <w:pPr>
              <w:pStyle w:val="Compact"/>
              <w:jc w:val="left"/>
            </w:pPr>
            <w:r>
              <w:t xml:space="preserve">0.1463</w:t>
            </w:r>
          </w:p>
        </w:tc>
        <w:tc>
          <w:p>
            <w:pPr>
              <w:pStyle w:val="Compact"/>
              <w:jc w:val="left"/>
            </w:pPr>
            <w:r>
              <w:t xml:space="preserve">0.078</w:t>
            </w:r>
          </w:p>
        </w:tc>
      </w:tr>
      <w:tr>
        <w:tc>
          <w:p>
            <w:pPr>
              <w:pStyle w:val="Compact"/>
              <w:jc w:val="left"/>
            </w:pPr>
            <w:r>
              <w:t xml:space="preserve">VAE latent VaR</w:t>
            </w:r>
          </w:p>
        </w:tc>
        <w:tc>
          <w:p>
            <w:pPr>
              <w:pStyle w:val="Compact"/>
              <w:jc w:val="left"/>
            </w:pPr>
            <w:r>
              <w:t xml:space="preserve">8761</w:t>
            </w:r>
          </w:p>
        </w:tc>
        <w:tc>
          <w:p>
            <w:pPr>
              <w:pStyle w:val="Compact"/>
              <w:jc w:val="left"/>
            </w:pPr>
            <w:r>
              <w:t xml:space="preserve">133</w:t>
            </w:r>
          </w:p>
        </w:tc>
        <w:tc>
          <w:p>
            <w:pPr>
              <w:pStyle w:val="Compact"/>
              <w:jc w:val="left"/>
            </w:pPr>
            <w:r>
              <w:t xml:space="preserve">0.01</w:t>
            </w:r>
          </w:p>
        </w:tc>
        <w:tc>
          <w:p>
            <w:pPr>
              <w:pStyle w:val="Compact"/>
              <w:jc w:val="left"/>
            </w:pPr>
            <w:r>
              <w:t xml:space="preserve">0.0152</w:t>
            </w:r>
          </w:p>
        </w:tc>
        <w:tc>
          <w:p>
            <w:pPr>
              <w:pStyle w:val="Compact"/>
              <w:jc w:val="left"/>
            </w:pPr>
            <w:r>
              <w:t xml:space="preserve">&lt;0.0001</w:t>
            </w:r>
          </w:p>
        </w:tc>
        <w:tc>
          <w:p>
            <w:pPr>
              <w:pStyle w:val="Compact"/>
              <w:jc w:val="left"/>
            </w:pPr>
            <w:r>
              <w:t xml:space="preserve">0.0051</w:t>
            </w:r>
          </w:p>
        </w:tc>
        <w:tc>
          <w:p>
            <w:pPr>
              <w:pStyle w:val="Compact"/>
              <w:jc w:val="left"/>
            </w:pPr>
            <w:r>
              <w:t xml:space="preserve">&lt;0.0001</w:t>
            </w:r>
          </w:p>
        </w:tc>
      </w:tr>
    </w:tbl>
    <w:p>
      <w:pPr>
        <w:pStyle w:val="CaptionedFigure"/>
      </w:pPr>
      <w:r>
        <w:drawing>
          <wp:inline>
            <wp:extent cx="5334000" cy="2286000"/>
            <wp:effectExtent b="0" l="0" r="0" t="0"/>
            <wp:docPr descr="VaR backtest" title="" id="1" name="Picture"/>
            <a:graphic>
              <a:graphicData uri="http://schemas.openxmlformats.org/drawingml/2006/picture">
                <pic:pic>
                  <pic:nvPicPr>
                    <pic:cNvPr descr="figures/var_backtest.png" id="0" name="Picture"/>
                    <pic:cNvPicPr>
                      <a:picLocks noChangeArrowheads="1" noChangeAspect="1"/>
                    </pic:cNvPicPr>
                  </pic:nvPicPr>
                  <pic:blipFill>
                    <a:blip r:embed="rId43"/>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VaR backtest</w:t>
      </w:r>
    </w:p>
    <w:p>
      <w:pPr>
        <w:pStyle w:val="CaptionedFigure"/>
      </w:pPr>
      <w:r>
        <w:drawing>
          <wp:inline>
            <wp:extent cx="5334000" cy="2286000"/>
            <wp:effectExtent b="0" l="0" r="0" t="0"/>
            <wp:docPr descr="LSTM volatility forecast" title="" id="1" name="Picture"/>
            <a:graphic>
              <a:graphicData uri="http://schemas.openxmlformats.org/drawingml/2006/picture">
                <pic:pic>
                  <pic:nvPicPr>
                    <pic:cNvPr descr="figures/lstm_volatility_forecast.png" id="0" name="Picture"/>
                    <pic:cNvPicPr>
                      <a:picLocks noChangeArrowheads="1" noChangeAspect="1"/>
                    </pic:cNvPicPr>
                  </pic:nvPicPr>
                  <pic:blipFill>
                    <a:blip r:embed="rId44"/>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LSTM volatility forecast</w:t>
      </w:r>
    </w:p>
    <w:p>
      <w:pPr>
        <w:pStyle w:val="CaptionedFigure"/>
      </w:pPr>
      <w:r>
        <w:drawing>
          <wp:inline>
            <wp:extent cx="5334000" cy="2667000"/>
            <wp:effectExtent b="0" l="0" r="0" t="0"/>
            <wp:docPr descr="VAE generated returns" title="" id="1" name="Picture"/>
            <a:graphic>
              <a:graphicData uri="http://schemas.openxmlformats.org/drawingml/2006/picture">
                <pic:pic>
                  <pic:nvPicPr>
                    <pic:cNvPr descr="figures/vae_generated_returns.png" id="0"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VAE generated returns</w:t>
      </w:r>
    </w:p>
    <w:p>
      <w:pPr>
        <w:pStyle w:val="Heading2"/>
      </w:pPr>
      <w:bookmarkStart w:id="46" w:name="limitations"/>
      <w:r>
        <w:t xml:space="preserve">Limitations</w:t>
      </w:r>
      <w:bookmarkEnd w:id="46"/>
    </w:p>
    <w:p>
      <w:pPr>
        <w:pStyle w:val="FirstParagraph"/>
      </w:pPr>
      <w:r>
        <w:t xml:space="preserve">The project has several explicit limitations. The benchmark is a proxy BTC/USDT series rather than a fiat BTC/USD market, the report relies on hourly candles rather than intrahour depth, and the backtesting section still evaluates only one realized holdout year even after adding conditional-coverage diagnostics. The neural models improve adaptability but remain harder to interpret than the parametric baseline, and the validation design is chronological rather than full rolling-origin cross-validation across multiple non-overlapping regimes. Finally, the reported VaR and CVaR numbers are market-risk statistics rather than liquidity-adjusted liquidation losses.</w:t>
      </w:r>
    </w:p>
    <w:p>
      <w:pPr>
        <w:pStyle w:val="Heading2"/>
      </w:pPr>
      <w:bookmarkStart w:id="47" w:name="discussion"/>
      <w:r>
        <w:t xml:space="preserve">Discussion</w:t>
      </w:r>
      <w:bookmarkEnd w:id="47"/>
    </w:p>
    <w:p>
      <w:pPr>
        <w:pStyle w:val="FirstParagraph"/>
      </w:pPr>
      <w:r>
        <w:t xml:space="preserve">Two empirical themes dominate the evidence. First, Bitcoin exhibits persistent volatility clustering, so state dependence matters even when raw returns themselves are weakly autocorrelated (Engle, 1982). Second, the downside tail is too heavy for a Gaussian benchmark to be credible: the Gaussian row understates tail risk relative to the matched Student-t benchmark and is weaker than Student-t VaR on the final-year backtest. Those facts explain why the project benefits from layering models instead of selecting a single winner for every use case.</w:t>
      </w:r>
    </w:p>
    <w:p>
      <w:pPr>
        <w:pStyle w:val="Heading2"/>
      </w:pPr>
      <w:bookmarkStart w:id="48" w:name="conclusion"/>
      <w:r>
        <w:t xml:space="preserve">Conclusion</w:t>
      </w:r>
      <w:bookmarkEnd w:id="48"/>
    </w:p>
    <w:p>
      <w:pPr>
        <w:pStyle w:val="FirstParagraph"/>
      </w:pPr>
      <w:r>
        <w:t xml:space="preserve">The main conclusion is that Gaussian hourly VaR is not an adequate benchmark for Bitcoin. Heavy-tailed parametric modeling, jump-aware simulation, and conditional neural forecasting all add economically meaningful information relative to a thin-tailed variance-only baseline. In this project, the jump-diffusion engine is the strongest conservative scenario benchmark, while the LSTM is the strongest one-hour conditional overlay on the final holdout year under the current conditional-coverage diagnostics.</w:t>
      </w:r>
    </w:p>
    <w:p>
      <w:pPr>
        <w:pStyle w:val="Heading2"/>
      </w:pPr>
      <w:bookmarkStart w:id="49" w:name="references"/>
      <w:r>
        <w:t xml:space="preserve">References</w:t>
      </w:r>
      <w:bookmarkEnd w:id="49"/>
    </w:p>
    <w:p>
      <w:pPr>
        <w:numPr>
          <w:ilvl w:val="0"/>
          <w:numId w:val="1001"/>
        </w:numPr>
        <w:pStyle w:val="Compact"/>
      </w:pPr>
      <w:r>
        <w:t xml:space="preserve">Jorion, Philippe. 2007. Value at Risk: The New Benchmark for Managing Financial Risk. 3rd ed. New York: McGraw-Hill.</w:t>
      </w:r>
    </w:p>
    <w:p>
      <w:pPr>
        <w:numPr>
          <w:ilvl w:val="0"/>
          <w:numId w:val="1001"/>
        </w:numPr>
        <w:pStyle w:val="Compact"/>
      </w:pPr>
      <w:r>
        <w:t xml:space="preserve">McNeil, Alexander J., Rudiger Frey, and Paul Embrechts. 2015. Quantitative Risk Management: Concepts, Techniques and Tools. Revised ed. Princeton: Princeton University Press.</w:t>
      </w:r>
    </w:p>
    <w:p>
      <w:pPr>
        <w:numPr>
          <w:ilvl w:val="0"/>
          <w:numId w:val="1001"/>
        </w:numPr>
        <w:pStyle w:val="Compact"/>
      </w:pPr>
      <w:r>
        <w:t xml:space="preserve">Kupiec, Paul H. 1995. Techniques for Verifying the Accuracy of Risk Measurement Models. Journal of Derivatives 3(2): 73-84.</w:t>
      </w:r>
    </w:p>
    <w:p>
      <w:pPr>
        <w:numPr>
          <w:ilvl w:val="0"/>
          <w:numId w:val="1001"/>
        </w:numPr>
        <w:pStyle w:val="Compact"/>
      </w:pPr>
      <w:r>
        <w:t xml:space="preserve">Christoffersen, Peter F. 1998. Evaluating Interval Forecasts. International Economic Review 39(4): 841-862.</w:t>
      </w:r>
    </w:p>
    <w:p>
      <w:pPr>
        <w:numPr>
          <w:ilvl w:val="0"/>
          <w:numId w:val="1001"/>
        </w:numPr>
        <w:pStyle w:val="Compact"/>
      </w:pPr>
      <w:r>
        <w:t xml:space="preserve">Merton, Robert C. 1976. Option Pricing When Underlying Stock Returns Are Discontinuous. Journal of Financial Economics 3(1-2): 125-144.</w:t>
      </w:r>
    </w:p>
    <w:p>
      <w:pPr>
        <w:numPr>
          <w:ilvl w:val="0"/>
          <w:numId w:val="1001"/>
        </w:numPr>
        <w:pStyle w:val="Compact"/>
      </w:pPr>
      <w:r>
        <w:t xml:space="preserve">Engle, Robert F. 1982. Autoregressive Conditional Heteroscedasticity with Estimates of the Variance of United Kingdom Inflation. Econometrica 50(4): 987-1007.</w:t>
      </w:r>
    </w:p>
    <w:p>
      <w:pPr>
        <w:numPr>
          <w:ilvl w:val="0"/>
          <w:numId w:val="1001"/>
        </w:numPr>
        <w:pStyle w:val="Compact"/>
      </w:pPr>
      <w:r>
        <w:t xml:space="preserve">Hochreiter, Sepp, and Jurgen Schmidhuber. 1997. Long Short-Term Memory. Neural Computation 9(8): 1735-1780.</w:t>
      </w:r>
    </w:p>
    <w:p>
      <w:pPr>
        <w:numPr>
          <w:ilvl w:val="0"/>
          <w:numId w:val="1001"/>
        </w:numPr>
        <w:pStyle w:val="Compact"/>
      </w:pPr>
      <w:r>
        <w:t xml:space="preserve">Kingma, Diederik P., and Max Welling. 2014. Auto-Encoding Variational Bayes. 2nd International Conference on Learning Representations.</w:t>
      </w:r>
    </w:p>
    <w:p>
      <w:pPr>
        <w:pStyle w:val="Heading2"/>
      </w:pPr>
      <w:bookmarkStart w:id="50" w:name="appendix"/>
      <w:r>
        <w:t xml:space="preserve">Appendix</w:t>
      </w:r>
      <w:bookmarkEnd w:id="50"/>
    </w:p>
    <w:p>
      <w:pPr>
        <w:pStyle w:val="FirstParagraph"/>
      </w:pPr>
      <w:r>
        <w:t xml:space="preserve">The appendix figures support the report’s main claims visually. The volatility-clustering scatter plot shows persistence in absolute returns, the normal Q-Q panel shows substantial tail deviation from Gaussian behavior, the backtest figure shows the relative responsiveness of each VaR series, and the generated-return panels illustrate how the neural models differ in purpose from the parametric baselines.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4" Target="media/rId44.png" /><Relationship Type="http://schemas.openxmlformats.org/officeDocument/2006/relationships/image" Id="rId33" Target="media/rId33.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3" Target="media/rId4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2026-04-27T05:38:13Z</dcterms:created>
  <dcterms:modified xsi:type="dcterms:W3CDTF">2026-04-27T05:38:13Z</dcterms:modified>
</cp:coreProperties>
</file>

<file path=docProps/custom.xml><?xml version="1.0" encoding="utf-8"?>
<Properties xmlns="http://schemas.openxmlformats.org/officeDocument/2006/custom-properties" xmlns:vt="http://schemas.openxmlformats.org/officeDocument/2006/docPropsVTypes"/>
</file>