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rPr>
          <w:b/>
          <w:bCs/>
          <w:sz w:val="32"/>
          <w:szCs w:val="32"/>
        </w:rPr>
      </w:pPr>
      <w:r>
        <w:rPr>
          <w:b/>
          <w:bCs/>
          <w:sz w:val="32"/>
          <w:szCs w:val="32"/>
        </w:rPr>
        <w:t xml:space="preserve">STATE UNIVERSITY OF BANGLADESH</w:t>
      </w:r>
    </w:p>
    <w:p>
      <w:pPr>
        <w:spacing w:after="1200"/>
        <w:jc w:val="center"/>
        <w:rPr>
          <w:sz w:val="26"/>
          <w:szCs w:val="26"/>
        </w:rPr>
      </w:pPr>
      <w:r>
        <w:rPr>
          <w:sz w:val="26"/>
          <w:szCs w:val="26"/>
        </w:rPr>
        <w:t xml:space="preserve">Department of Computer Science &amp; Engineering</w:t>
      </w:r>
    </w:p>
    <w:p>
      <w:pPr>
        <w:spacing w:after="100"/>
        <w:jc w:val="center"/>
        <w:rPr>
          <w:b/>
          <w:bCs/>
          <w:sz w:val="36"/>
          <w:szCs w:val="36"/>
        </w:rPr>
      </w:pPr>
      <w:r>
        <w:rPr>
          <w:b/>
          <w:bCs/>
          <w:sz w:val="36"/>
          <w:szCs w:val="36"/>
        </w:rPr>
        <w:t xml:space="preserve">Design and Implementation of an Intelligent</w:t>
      </w:r>
    </w:p>
    <w:p>
      <w:pPr>
        <w:spacing w:after="100"/>
        <w:jc w:val="center"/>
        <w:rPr>
          <w:b/>
          <w:bCs/>
          <w:sz w:val="36"/>
          <w:szCs w:val="36"/>
        </w:rPr>
      </w:pPr>
      <w:r>
        <w:rPr>
          <w:b/>
          <w:bCs/>
          <w:sz w:val="36"/>
          <w:szCs w:val="36"/>
        </w:rPr>
        <w:t xml:space="preserve">sEMG-Based Human–Machine Interface</w:t>
      </w:r>
    </w:p>
    <w:p>
      <w:pPr>
        <w:spacing w:after="800"/>
        <w:jc w:val="center"/>
        <w:rPr>
          <w:b/>
          <w:bCs/>
          <w:sz w:val="36"/>
          <w:szCs w:val="36"/>
        </w:rPr>
      </w:pPr>
      <w:r>
        <w:rPr>
          <w:b/>
          <w:bCs/>
          <w:sz w:val="36"/>
          <w:szCs w:val="36"/>
        </w:rPr>
        <w:t xml:space="preserve">for Multi-DoF Robotic Arm Control</w:t>
      </w:r>
    </w:p>
    <w:p>
      <w:pPr>
        <w:spacing w:after="80"/>
        <w:jc w:val="center"/>
        <w:rPr>
          <w:i/>
          <w:iCs/>
          <w:sz w:val="26"/>
          <w:szCs w:val="26"/>
        </w:rPr>
      </w:pPr>
      <w:r>
        <w:rPr>
          <w:i/>
          <w:iCs/>
          <w:sz w:val="26"/>
          <w:szCs w:val="26"/>
        </w:rPr>
        <w:t xml:space="preserve">Undergraduate Thesis</w:t>
      </w:r>
    </w:p>
    <w:p>
      <w:pPr>
        <w:jc w:val="center"/>
        <w:rPr>
          <w:sz w:val="22"/>
          <w:szCs w:val="22"/>
        </w:rPr>
      </w:pPr>
      <w:r>
        <w:rPr>
          <w:sz w:val="22"/>
          <w:szCs w:val="22"/>
        </w:rPr>
        <w:t xml:space="preserve">Submitted in partial fulfillment of the requirements</w:t>
      </w:r>
    </w:p>
    <w:p>
      <w:pPr>
        <w:jc w:val="center"/>
        <w:rPr>
          <w:sz w:val="22"/>
          <w:szCs w:val="22"/>
        </w:rPr>
      </w:pPr>
      <w:r>
        <w:rPr>
          <w:sz w:val="22"/>
          <w:szCs w:val="22"/>
        </w:rPr>
        <w:t xml:space="preserve">for the degree of Bachelor of Science in</w:t>
      </w:r>
    </w:p>
    <w:p>
      <w:pPr>
        <w:spacing w:after="1200"/>
        <w:jc w:val="center"/>
        <w:rPr>
          <w:sz w:val="22"/>
          <w:szCs w:val="22"/>
        </w:rPr>
      </w:pPr>
      <w:r>
        <w:rPr>
          <w:sz w:val="22"/>
          <w:szCs w:val="22"/>
        </w:rPr>
        <w:t xml:space="preserve">Computer Science &amp; Engineering</w:t>
      </w:r>
    </w:p>
    <w:p>
      <w:pPr>
        <w:spacing w:after="100"/>
        <w:jc w:val="center"/>
        <w:rPr>
          <w:sz w:val="22"/>
          <w:szCs w:val="22"/>
        </w:rPr>
      </w:pPr>
      <w:r>
        <w:rPr>
          <w:sz w:val="22"/>
          <w:szCs w:val="22"/>
        </w:rPr>
        <w:t xml:space="preserve">Submitted by</w:t>
      </w:r>
    </w:p>
    <w:p>
      <w:pPr>
        <w:spacing w:after="80"/>
        <w:jc w:val="center"/>
        <w:rPr>
          <w:b/>
          <w:bCs/>
          <w:sz w:val="28"/>
          <w:szCs w:val="28"/>
        </w:rPr>
      </w:pPr>
      <w:r>
        <w:rPr>
          <w:b/>
          <w:bCs/>
          <w:sz w:val="28"/>
          <w:szCs w:val="28"/>
        </w:rPr>
        <w:t xml:space="preserve">Muhtasim Al Ahsan</w:t>
      </w:r>
    </w:p>
    <w:p>
      <w:pPr>
        <w:spacing w:after="600"/>
        <w:jc w:val="center"/>
        <w:rPr>
          <w:sz w:val="22"/>
          <w:szCs w:val="22"/>
        </w:rPr>
      </w:pPr>
      <w:r>
        <w:rPr>
          <w:sz w:val="22"/>
          <w:szCs w:val="22"/>
        </w:rPr>
        <w:t xml:space="preserve">ID: UG02-61-22-042</w:t>
      </w:r>
    </w:p>
    <w:p>
      <w:pPr>
        <w:spacing w:after="100"/>
        <w:jc w:val="center"/>
        <w:rPr>
          <w:sz w:val="22"/>
          <w:szCs w:val="22"/>
        </w:rPr>
      </w:pPr>
      <w:r>
        <w:rPr>
          <w:sz w:val="22"/>
          <w:szCs w:val="22"/>
        </w:rPr>
        <w:t xml:space="preserve">Supervised by</w:t>
      </w:r>
    </w:p>
    <w:p>
      <w:pPr>
        <w:spacing w:after="80"/>
        <w:jc w:val="center"/>
        <w:rPr>
          <w:b/>
          <w:bCs/>
          <w:sz w:val="26"/>
          <w:szCs w:val="26"/>
        </w:rPr>
      </w:pPr>
      <w:r>
        <w:rPr>
          <w:b/>
          <w:bCs/>
          <w:sz w:val="26"/>
          <w:szCs w:val="26"/>
        </w:rPr>
        <w:t xml:space="preserve">[Supervisor Name]</w:t>
      </w:r>
    </w:p>
    <w:p>
      <w:pPr>
        <w:spacing w:after="80"/>
        <w:jc w:val="center"/>
        <w:rPr>
          <w:sz w:val="22"/>
          <w:szCs w:val="22"/>
        </w:rPr>
      </w:pPr>
      <w:r>
        <w:rPr>
          <w:sz w:val="22"/>
          <w:szCs w:val="22"/>
        </w:rPr>
        <w:t xml:space="preserve">[Designation], Department of CSE</w:t>
      </w:r>
    </w:p>
    <w:p>
      <w:pPr>
        <w:spacing w:after="800"/>
        <w:jc w:val="center"/>
        <w:rPr>
          <w:sz w:val="22"/>
          <w:szCs w:val="22"/>
        </w:rPr>
      </w:pPr>
      <w:r>
        <w:rPr>
          <w:sz w:val="22"/>
          <w:szCs w:val="22"/>
        </w:rPr>
        <w:t xml:space="preserve">State University of Bangladesh</w:t>
      </w:r>
    </w:p>
    <w:p>
      <w:pPr>
        <w:jc w:val="center"/>
        <w:rPr>
          <w:sz w:val="22"/>
          <w:szCs w:val="22"/>
        </w:rPr>
      </w:pPr>
      <w:r>
        <w:rPr>
          <w:sz w:val="22"/>
          <w:szCs w:val="22"/>
        </w:rPr>
        <w:t xml:space="preserve">Course: CSE0400 – Project</w:t>
      </w:r>
    </w:p>
    <w:p>
      <w:pPr>
        <w:jc w:val="center"/>
        <w:rPr>
          <w:sz w:val="22"/>
          <w:szCs w:val="22"/>
        </w:rPr>
      </w:pPr>
      <w:r>
        <w:rPr>
          <w:sz w:val="22"/>
          <w:szCs w:val="22"/>
        </w:rPr>
        <w:t xml:space="preserve">May 2026</w:t>
      </w:r>
    </w:p>
    <w:p>
      <w:r>
        <w:br w:type="page"/>
      </w:r>
    </w:p>
    <w:p>
      <w:pPr>
        <w:pStyle w:val="Heading1"/>
        <w:spacing w:after="240" w:before="360"/>
      </w:pPr>
      <w:r>
        <w:t xml:space="preserve">Declaration</w:t>
      </w:r>
    </w:p>
    <w:p>
      <w:pPr>
        <w:spacing w:after="200" w:line="360"/>
        <w:jc w:val="both"/>
      </w:pPr>
      <w:r>
        <w:t xml:space="preserve">I, Muhtasim Al Ahsan (ID: UG02-61-22-042), hereby declare that the work presented in this thesis titled "Design and Implementation of an Intelligent sEMG-Based Human–Machine Interface for Multi-DoF Robotic Arm Control" is the result of my own original investigation, carried out under the supervision of [Supervisor Name], Department of Computer Science &amp; Engineering, State University of Bangladesh.</w:t>
      </w:r>
    </w:p>
    <w:p>
      <w:pPr>
        <w:spacing w:after="200" w:line="360"/>
        <w:jc w:val="both"/>
      </w:pPr>
      <w:r>
        <w:t xml:space="preserve">I further declare that this work has not been submitted, in whole or in part, for any other degree or qualification at this or any other institution. All sources of information consulted have been duly acknowledged in the form of citations and references.</w:t>
      </w:r>
    </w:p>
    <w:p>
      <w:pPr>
        <w:spacing w:before="800"/>
      </w:pPr>
      <w:r>
        <w:t xml:space="preserve"/>
      </w:r>
    </w:p>
    <w:p>
      <w:r>
        <w:t xml:space="preserve">______________________________</w:t>
      </w:r>
    </w:p>
    <w:p>
      <w:r>
        <w:t xml:space="preserve">Muhtasim Al Ahsan</w:t>
      </w:r>
    </w:p>
    <w:p>
      <w:r>
        <w:t xml:space="preserve">ID: UG02-61-22-042</w:t>
      </w:r>
    </w:p>
    <w:p>
      <w:r>
        <w:t xml:space="preserve">Department of CSE, State University of Bangladesh</w:t>
      </w:r>
    </w:p>
    <w:p>
      <w:r>
        <w:br w:type="page"/>
      </w:r>
    </w:p>
    <w:p>
      <w:pPr>
        <w:pStyle w:val="Heading1"/>
        <w:spacing w:after="240" w:before="360"/>
      </w:pPr>
      <w:r>
        <w:t xml:space="preserve">Supervisor's Certificate</w:t>
      </w:r>
    </w:p>
    <w:p>
      <w:pPr>
        <w:spacing w:after="200" w:line="360"/>
        <w:jc w:val="both"/>
      </w:pPr>
      <w:r>
        <w:t xml:space="preserve">This is to certify that the thesis entitled "Design and Implementation of an Intelligent sEMG-Based Human–Machine Interface for Multi-DoF Robotic Arm Control" submitted by Muhtasim Al Ahsan (ID: UG02-61-22-042) to the Department of Computer Science &amp; Engineering, State University of Bangladesh, is a bona fide record of original research carried out by him under my supervision.</w:t>
      </w:r>
    </w:p>
    <w:p>
      <w:pPr>
        <w:spacing w:after="200" w:line="360"/>
        <w:jc w:val="both"/>
      </w:pPr>
      <w:r>
        <w:t xml:space="preserve">The work embodied in this thesis has not been submitted elsewhere for the award of any other degree. I recommend this thesis for evaluation in partial fulfillment of the requirements for the degree of Bachelor of Science in Computer Science &amp; Engineering.</w:t>
      </w:r>
    </w:p>
    <w:p>
      <w:pPr>
        <w:spacing w:before="800"/>
      </w:pPr>
      <w:r>
        <w:t xml:space="preserve"/>
      </w:r>
    </w:p>
    <w:p>
      <w:r>
        <w:t xml:space="preserve">______________________________</w:t>
      </w:r>
    </w:p>
    <w:p>
      <w:r>
        <w:t xml:space="preserve">[Supervisor Name]</w:t>
      </w:r>
    </w:p>
    <w:p>
      <w:r>
        <w:t xml:space="preserve">[Designation]</w:t>
      </w:r>
    </w:p>
    <w:p>
      <w:r>
        <w:t xml:space="preserve">Department of CSE, State University of Bangladesh</w:t>
      </w:r>
    </w:p>
    <w:p>
      <w:r>
        <w:br w:type="page"/>
      </w:r>
    </w:p>
    <w:p>
      <w:pPr>
        <w:pStyle w:val="Heading1"/>
        <w:spacing w:after="240" w:before="360"/>
      </w:pPr>
      <w:r>
        <w:t xml:space="preserve">Acknowledgments</w:t>
      </w:r>
    </w:p>
    <w:p>
      <w:pPr>
        <w:spacing w:after="200" w:line="360"/>
        <w:jc w:val="both"/>
      </w:pPr>
      <w:r>
        <w:t xml:space="preserve">I would like to express my deepest gratitude to my supervisor, [Supervisor Name], for the continued guidance, patience, and constructive criticism that shaped this work from its earliest stages. I am grateful to the faculty members of the Department of Computer Science &amp; Engineering at State University of Bangladesh for the academic foundation that made this thesis possible.</w:t>
      </w:r>
    </w:p>
    <w:p>
      <w:pPr>
        <w:spacing w:after="200" w:line="360"/>
        <w:jc w:val="both"/>
      </w:pPr>
      <w:r>
        <w:t xml:space="preserve">I extend my thanks to the team at Rufaida BioMeds — particularly Dr. Md. Aminul Haque — for the practical exposure to biomedical instrumentation that informed the hardware portion of this work. I also thank the members of SUBRAS (State University of Bangladesh Robotics and Automation Society) for the discussions and collaborative spirit that helped me iterate on early prototypes.</w:t>
      </w:r>
    </w:p>
    <w:p>
      <w:pPr>
        <w:spacing w:after="200" w:line="360"/>
        <w:jc w:val="both"/>
      </w:pPr>
      <w:r>
        <w:t xml:space="preserve">I am thankful to the volunteers who agreed to participate in data collection. Without their patient cooperation across multiple sessions, the cross-user evaluation in this thesis would not have been possible.</w:t>
      </w:r>
    </w:p>
    <w:p>
      <w:pPr>
        <w:spacing w:after="200" w:line="360"/>
        <w:jc w:val="both"/>
      </w:pPr>
      <w:r>
        <w:t xml:space="preserve">Finally, I owe an inexpressible debt to my family for their unwavering support and encouragement throughout my undergraduate studies.</w:t>
      </w:r>
    </w:p>
    <w:p>
      <w:pPr>
        <w:spacing w:before="600"/>
        <w:jc w:val="right"/>
      </w:pPr>
      <w:r>
        <w:rPr>
          <w:i/>
          <w:iCs/>
        </w:rPr>
        <w:t xml:space="preserve">Muhtasim Al Ahsan</w:t>
      </w:r>
    </w:p>
    <w:p>
      <w:pPr>
        <w:jc w:val="right"/>
      </w:pPr>
      <w:r>
        <w:rPr>
          <w:i/>
          <w:iCs/>
        </w:rPr>
        <w:t xml:space="preserve">May 2026</w:t>
      </w:r>
    </w:p>
    <w:p>
      <w:r>
        <w:br w:type="page"/>
      </w:r>
    </w:p>
    <w:p>
      <w:pPr>
        <w:pStyle w:val="Heading1"/>
        <w:spacing w:after="240" w:before="360"/>
      </w:pPr>
      <w:r>
        <w:t xml:space="preserve">Abstract</w:t>
      </w:r>
    </w:p>
    <w:p>
      <w:pPr>
        <w:spacing w:after="200" w:line="360"/>
        <w:jc w:val="both"/>
      </w:pPr>
      <w:r>
        <w:t xml:space="preserve">Upper-limb amputation affects millions worldwide, with the highest burden falling on low- and middle-income countries where commercial myoelectric prostheses remain economically inaccessible. Surface electromyography (sEMG) provides a non-invasive route to decoding muscle intent from voluntary contractions, but most reported systems rely on costly acquisition hardware and offer limited adaptability to new users.</w:t>
      </w:r>
    </w:p>
    <w:p>
      <w:pPr>
        <w:spacing w:after="200" w:line="360"/>
        <w:jc w:val="both"/>
      </w:pPr>
      <w:r>
        <w:t xml:space="preserve">This thesis presents a complete, low-cost sEMG-based human–machine interface for the control of a six-degree-of-freedom (6-DoF) robotic arm. The system combines a custom analog front-end built around the AD620 instrumentation amplifier (total hardware cost below USD 25) with a Python software pipeline that performs real-time bandpass and notch filtering, envelope extraction, sliding-window segmentation, hand-crafted feature extraction (MAV, RMS, WL, ZC, SSC, MNF, MDF), and supervised classification using both Random Forest and 1D Convolutional Neural Network models. A mode-based finite-state controller maps the limited information bandwidth of two EMG channels onto the six independent DoFs of the target arm.</w:t>
      </w:r>
    </w:p>
    <w:p>
      <w:pPr>
        <w:spacing w:after="200" w:line="360"/>
        <w:jc w:val="both"/>
      </w:pPr>
      <w:r>
        <w:t xml:space="preserve">A PyQt6 graphical user interface supports cue-based data acquisition, real-time signal visualisation, and a virtual-arm preview so the control pipeline can be validated entirely in software before any hardware is attached.</w:t>
      </w:r>
    </w:p>
    <w:p>
      <w:pPr>
        <w:spacing w:after="200" w:line="360"/>
        <w:jc w:val="both"/>
      </w:pPr>
      <w:r>
        <w:rPr>
          <w:b/>
          <w:bCs/>
          <w:color w:val="C00000"/>
        </w:rPr>
        <w:t xml:space="preserve">[TODO: </w:t>
      </w:r>
      <w:r>
        <w:rPr>
          <w:i/>
          <w:iCs/>
          <w:color w:val="C00000"/>
        </w:rPr>
        <w:t xml:space="preserve">Once results are collected: replace this paragraph with the headline numbers — classification accuracy, end-to-end latency, false-activation rate, number of participants, number of sessions.</w:t>
      </w:r>
      <w:r>
        <w:rPr>
          <w:b/>
          <w:bCs/>
          <w:color w:val="C00000"/>
        </w:rPr>
        <w:t xml:space="preserve">]</w:t>
      </w:r>
    </w:p>
    <w:p>
      <w:pPr>
        <w:spacing w:after="200" w:line="360"/>
        <w:jc w:val="both"/>
      </w:pPr>
      <w:r>
        <w:t xml:space="preserve">The complete codebase, hardware schematics, and synthetic-signal emulator are released as open source to support reproducibility and reuse in low-resource research and educational settings.</w:t>
      </w:r>
    </w:p>
    <w:p>
      <w:pPr>
        <w:spacing w:before="400"/>
      </w:pPr>
      <w:r>
        <w:rPr>
          <w:b/>
          <w:bCs/>
        </w:rPr>
        <w:t xml:space="preserve">Keywords: </w:t>
      </w:r>
      <w:r>
        <w:t xml:space="preserve">surface electromyography, sEMG, prosthetic control, multi-DoF, machine learning, low-cost biomedical instrumentation, human–machine interface, robotic arm.</w:t>
      </w:r>
    </w:p>
    <w:p>
      <w:r>
        <w:br w:type="page"/>
      </w:r>
    </w:p>
    <w:p>
      <w:pPr>
        <w:pStyle w:val="Heading1"/>
        <w:spacing w:after="240" w:before="360"/>
      </w:pPr>
      <w:r>
        <w:t xml:space="preserve">Table of Contents</w:t>
      </w:r>
    </w:p>
    <w:p>
      <w:pPr>
        <w:spacing w:after="200"/>
      </w:pPr>
      <w:r>
        <w:rPr>
          <w:i/>
          <w:iCs/>
          <w:color w:val="666666"/>
        </w:rPr>
        <w:t xml:space="preserve">After opening this document in Word, right-click on the line below and choose "Update Field" to populate the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t xml:space="preserve">Chapter 1: Introduction</w:t>
      </w:r>
    </w:p>
    <w:p>
      <w:pPr>
        <w:pStyle w:val="Heading2"/>
        <w:spacing w:after="240" w:before="360"/>
      </w:pPr>
      <w:r>
        <w:t xml:space="preserve">1.1 Background and Motivation</w:t>
      </w:r>
    </w:p>
    <w:p>
      <w:pPr>
        <w:spacing w:after="200" w:line="360"/>
        <w:jc w:val="both"/>
      </w:pPr>
      <w:r>
        <w:t xml:space="preserve">Surface electromyography (sEMG) is a non-invasive technique for measuring the electrical activity that accompanies skeletal muscle contraction. When a person voluntarily contracts a muscle, motor neurons fire and the resulting depolarisation propagates through the muscle fibres; surface electrodes placed on the overlying skin pick up a small voltage that scales with the level of contraction. This signal can be amplified, filtered, and processed to infer the user's motor intent without requiring any invasive procedure, making sEMG attractive for both prosthetic and human–machine interface applications.</w:t>
      </w:r>
    </w:p>
    <w:p>
      <w:pPr>
        <w:spacing w:after="200" w:line="360"/>
        <w:jc w:val="both"/>
      </w:pPr>
      <w:r>
        <w:t xml:space="preserve">For people with upper-limb amputation, sEMG provides one of the few practical pathways to volitional control of an artificial limb. Modern multi-articulating prostheses translate sEMG signals from residual limb muscles into hand and wrist movements, allowing users to perform activities of daily living that would otherwise require assistance. However, the cost of commercial myoelectric systems remains prohibitive for the majority of patients in low- and middle-income countries, including Bangladesh, where access to such prosthetics is extremely limited.</w:t>
      </w:r>
    </w:p>
    <w:p>
      <w:pPr>
        <w:spacing w:after="200" w:line="360"/>
        <w:jc w:val="both"/>
      </w:pPr>
      <w:r>
        <w:t xml:space="preserve">The recent maturation of low-cost microcontrollers, open-source machine learning libraries, and inexpensive servo-based robotic platforms creates an opportunity to develop sEMG-driven interfaces that are functional, intelligent, and affordable. This thesis investigates how far such a system can be pushed when constrained to undergraduate-grade hardware and a small number of acquisition channels.</w:t>
      </w:r>
    </w:p>
    <w:p>
      <w:pPr>
        <w:pStyle w:val="Heading2"/>
        <w:spacing w:after="240" w:before="360"/>
      </w:pPr>
      <w:r>
        <w:t xml:space="preserve">1.2 Problem Statement</w:t>
      </w:r>
    </w:p>
    <w:p>
      <w:pPr>
        <w:spacing w:after="200" w:line="360"/>
        <w:jc w:val="both"/>
      </w:pPr>
      <w:r>
        <w:t xml:space="preserve">Although sEMG-based control has demonstrated significant promise in laboratory and clinical settings, several limitations continue to hinder its widespread adoption:</w:t>
      </w:r>
    </w:p>
    <w:p>
      <w:pPr>
        <w:pStyle w:val="ListParagraph"/>
        <w:numPr>
          <w:ilvl w:val="0"/>
          <w:numId w:val="2"/>
        </w:numPr>
        <w:spacing w:after="100" w:line="320"/>
      </w:pPr>
      <w:r>
        <w:t xml:space="preserve">Commercial sEMG acquisition systems and myoelectric prostheses remain economically inaccessible in low-resource settings.</w:t>
      </w:r>
    </w:p>
    <w:p>
      <w:pPr>
        <w:pStyle w:val="ListParagraph"/>
        <w:numPr>
          <w:ilvl w:val="0"/>
          <w:numId w:val="2"/>
        </w:numPr>
        <w:spacing w:after="100" w:line="320"/>
      </w:pPr>
      <w:r>
        <w:t xml:space="preserve">Mapping a small number of EMG channels onto a multi-degree-of-freedom robotic system is a non-trivial information-bandwidth problem.</w:t>
      </w:r>
    </w:p>
    <w:p>
      <w:pPr>
        <w:pStyle w:val="ListParagraph"/>
        <w:numPr>
          <w:ilvl w:val="0"/>
          <w:numId w:val="2"/>
        </w:numPr>
        <w:spacing w:after="100" w:line="320"/>
      </w:pPr>
      <w:r>
        <w:t xml:space="preserve">Surface EMG is highly sensitive to electrode placement, skin condition, fatigue, and inter-user variability, which compromises classifier robustness.</w:t>
      </w:r>
    </w:p>
    <w:p>
      <w:pPr>
        <w:pStyle w:val="ListParagraph"/>
        <w:numPr>
          <w:ilvl w:val="0"/>
          <w:numId w:val="2"/>
        </w:numPr>
        <w:spacing w:after="100" w:line="320"/>
      </w:pPr>
      <w:r>
        <w:t xml:space="preserve">Existing open-source systems tend to focus on either hardware acquisition or machine-learned classification in isolation, rarely providing an integrated platform that also covers training visualisation, real-time control, and evaluation tooling.</w:t>
      </w:r>
    </w:p>
    <w:p>
      <w:pPr>
        <w:pStyle w:val="Heading2"/>
        <w:spacing w:after="240" w:before="360"/>
      </w:pPr>
      <w:r>
        <w:t xml:space="preserve">1.3 Research Objectives</w:t>
      </w:r>
    </w:p>
    <w:p>
      <w:pPr>
        <w:spacing w:after="200" w:line="360"/>
        <w:jc w:val="both"/>
      </w:pPr>
      <w:r>
        <w:t xml:space="preserve">The principal objective of this thesis is to design, implement, and evaluate an end-to-end sEMG-based control system for a 6-DoF robotic arm. Specific sub-objectives are as follows:</w:t>
      </w:r>
    </w:p>
    <w:p>
      <w:pPr>
        <w:pStyle w:val="ListParagraph"/>
        <w:numPr>
          <w:ilvl w:val="0"/>
          <w:numId w:val="3"/>
        </w:numPr>
        <w:spacing w:after="100" w:line="320"/>
      </w:pPr>
      <w:r>
        <w:t xml:space="preserve">Design a low-cost analog front-end for two-channel sEMG acquisition using off-the-shelf components, with a total hardware cost below USD 25.</w:t>
      </w:r>
    </w:p>
    <w:p>
      <w:pPr>
        <w:pStyle w:val="ListParagraph"/>
        <w:numPr>
          <w:ilvl w:val="0"/>
          <w:numId w:val="3"/>
        </w:numPr>
        <w:spacing w:after="100" w:line="320"/>
      </w:pPr>
      <w:r>
        <w:t xml:space="preserve">Implement a real-time software pipeline covering signal preprocessing, envelope extraction, windowing, and feature extraction.</w:t>
      </w:r>
    </w:p>
    <w:p>
      <w:pPr>
        <w:pStyle w:val="ListParagraph"/>
        <w:numPr>
          <w:ilvl w:val="0"/>
          <w:numId w:val="3"/>
        </w:numPr>
        <w:spacing w:after="100" w:line="320"/>
      </w:pPr>
      <w:r>
        <w:t xml:space="preserve">Train and evaluate supervised classifiers — both classical (Random Forest, SVM) and deep (1D CNN) — for the recognition of muscle activation patterns.</w:t>
      </w:r>
    </w:p>
    <w:p>
      <w:pPr>
        <w:pStyle w:val="ListParagraph"/>
        <w:numPr>
          <w:ilvl w:val="0"/>
          <w:numId w:val="3"/>
        </w:numPr>
        <w:spacing w:after="100" w:line="320"/>
      </w:pPr>
      <w:r>
        <w:t xml:space="preserve">Design a mode-based control state machine that maps the limited information from two EMG channels onto six robotic degrees of freedom.</w:t>
      </w:r>
    </w:p>
    <w:p>
      <w:pPr>
        <w:pStyle w:val="ListParagraph"/>
        <w:numPr>
          <w:ilvl w:val="0"/>
          <w:numId w:val="3"/>
        </w:numPr>
        <w:spacing w:after="100" w:line="320"/>
      </w:pPr>
      <w:r>
        <w:t xml:space="preserve">Develop a PyQt6 graphical interface for cue-based dataset collection, live signal visualisation, and inference preview with a virtual arm.</w:t>
      </w:r>
    </w:p>
    <w:p>
      <w:pPr>
        <w:pStyle w:val="ListParagraph"/>
        <w:numPr>
          <w:ilvl w:val="0"/>
          <w:numId w:val="3"/>
        </w:numPr>
        <w:spacing w:after="100" w:line="320"/>
      </w:pPr>
      <w:r>
        <w:t xml:space="preserve">Evaluate the complete system in terms of classification accuracy, end-to-end latency, false-activation rate, and cross-session robustness.</w:t>
      </w:r>
    </w:p>
    <w:p>
      <w:pPr>
        <w:pStyle w:val="Heading2"/>
        <w:spacing w:after="240" w:before="360"/>
      </w:pPr>
      <w:r>
        <w:t xml:space="preserve">1.4 Contributions</w:t>
      </w:r>
    </w:p>
    <w:p>
      <w:pPr>
        <w:spacing w:after="200" w:line="360"/>
        <w:jc w:val="both"/>
      </w:pPr>
      <w:r>
        <w:t xml:space="preserve">The principal contributions of this thesis are:</w:t>
      </w:r>
    </w:p>
    <w:p>
      <w:pPr>
        <w:pStyle w:val="ListParagraph"/>
        <w:numPr>
          <w:ilvl w:val="0"/>
          <w:numId w:val="2"/>
        </w:numPr>
        <w:spacing w:after="100" w:line="320"/>
      </w:pPr>
      <w:r>
        <w:t xml:space="preserve">A characterised, sub-USD-25 sEMG front-end with schematics released as open hardware.</w:t>
      </w:r>
    </w:p>
    <w:p>
      <w:pPr>
        <w:pStyle w:val="ListParagraph"/>
        <w:numPr>
          <w:ilvl w:val="0"/>
          <w:numId w:val="2"/>
        </w:numPr>
        <w:spacing w:after="100" w:line="320"/>
      </w:pPr>
      <w:r>
        <w:t xml:space="preserve">A reproducible, modular Python pipeline that supports both real and simulated data, enabling parallel software development without hardware access.</w:t>
      </w:r>
    </w:p>
    <w:p>
      <w:pPr>
        <w:pStyle w:val="ListParagraph"/>
        <w:numPr>
          <w:ilvl w:val="0"/>
          <w:numId w:val="2"/>
        </w:numPr>
        <w:spacing w:after="100" w:line="320"/>
      </w:pPr>
      <w:r>
        <w:t xml:space="preserve">A mode-based control state machine that achieves multi-DoF control from only two EMG channels.</w:t>
      </w:r>
    </w:p>
    <w:p>
      <w:pPr>
        <w:pStyle w:val="ListParagraph"/>
        <w:numPr>
          <w:ilvl w:val="0"/>
          <w:numId w:val="2"/>
        </w:numPr>
        <w:spacing w:after="100" w:line="320"/>
      </w:pPr>
      <w:r>
        <w:t xml:space="preserve">A PyQt6 graphical user interface that integrates training, monitoring, and inference into a single application.</w:t>
      </w:r>
    </w:p>
    <w:p>
      <w:pPr>
        <w:pStyle w:val="ListParagraph"/>
        <w:numPr>
          <w:ilvl w:val="0"/>
          <w:numId w:val="2"/>
        </w:numPr>
        <w:spacing w:after="100" w:line="320"/>
      </w:pPr>
      <w:r>
        <w:t xml:space="preserve">A complete public release of code, schematics, and a synthetic-signal emulator.</w:t>
      </w:r>
    </w:p>
    <w:p>
      <w:pPr>
        <w:pStyle w:val="Heading2"/>
        <w:spacing w:after="240" w:before="360"/>
      </w:pPr>
      <w:r>
        <w:t xml:space="preserve">1.5 Scope and Limitations</w:t>
      </w:r>
    </w:p>
    <w:p>
      <w:pPr>
        <w:spacing w:after="200" w:line="360"/>
        <w:jc w:val="both"/>
      </w:pPr>
      <w:r>
        <w:t xml:space="preserve">This thesis is restricted to able-bodied adult volunteers; clinical validation with amputee subjects, which would require institutional ethics review and dedicated infrastructure, is left for future work. The system decodes muscle activation rather than abstract thought; pure mental imagery without any muscle contraction does not produce an sEMG signal. Brain–computer interface (BCI) integration via electroencephalography (EEG) is acknowledged as an attractive future extension but lies outside the current scope.</w:t>
      </w:r>
    </w:p>
    <w:p>
      <w:pPr>
        <w:pStyle w:val="Heading2"/>
        <w:spacing w:after="240" w:before="360"/>
      </w:pPr>
      <w:r>
        <w:t xml:space="preserve">1.6 Organisation of the Thesis</w:t>
      </w:r>
    </w:p>
    <w:p>
      <w:pPr>
        <w:spacing w:after="200" w:line="360"/>
        <w:jc w:val="both"/>
      </w:pPr>
      <w:r>
        <w:t xml:space="preserve">The remainder of this thesis is organised as follows. Chapter 2 reviews relevant literature on sEMG-based prosthetic control, machine learning for biosignal classification, and existing low-cost acquisition platforms. Chapter 3 describes the methodology of the proposed system, including hardware design, signal processing, feature extraction, classification, and control. Chapter 4 details the software implementation, the structure of the codebase, and the design of the graphical user interface. Chapter 5 reports experimental results, including within-session, cross-session, and cross-user evaluations. Chapter 6 concludes the thesis with a summary of findings, limitations, and directions for future work.</w:t>
      </w:r>
    </w:p>
    <w:p>
      <w:r>
        <w:br w:type="page"/>
      </w:r>
    </w:p>
    <w:p>
      <w:pPr>
        <w:pStyle w:val="Heading1"/>
        <w:spacing w:after="240" w:before="360"/>
      </w:pPr>
      <w:r>
        <w:t xml:space="preserve">Chapter 2: Literature Review</w:t>
      </w:r>
    </w:p>
    <w:p>
      <w:pPr>
        <w:pStyle w:val="Heading2"/>
        <w:spacing w:after="240" w:before="360"/>
      </w:pPr>
      <w:r>
        <w:t xml:space="preserve">2.1 Surface Electromyography</w:t>
      </w:r>
    </w:p>
    <w:p>
      <w:pPr>
        <w:spacing w:after="200" w:line="360"/>
        <w:jc w:val="both"/>
      </w:pPr>
      <w:r>
        <w:t xml:space="preserve">Electromyography measures the electrical activity associated with the contraction of skeletal muscle. Two principal modalities exist: invasive (intramuscular) EMG, in which fine wire or needle electrodes are inserted into the muscle of interest, and surface EMG, in which electrodes are placed on the skin overlying the muscle. Although intramuscular EMG provides superior selectivity and signal-to-noise ratio, the invasiveness of the technique limits it to clinical and research environments. Surface EMG, by contrast, is non-invasive and well-suited to prosthetic and human–machine interface use cases.</w:t>
      </w:r>
    </w:p>
    <w:p>
      <w:pPr>
        <w:spacing w:after="200" w:line="360"/>
        <w:jc w:val="both"/>
      </w:pPr>
      <w:r>
        <w:rPr>
          <w:b/>
          <w:bCs/>
          <w:color w:val="C00000"/>
        </w:rPr>
        <w:t xml:space="preserve">[TODO: </w:t>
      </w:r>
      <w:r>
        <w:rPr>
          <w:i/>
          <w:iCs/>
          <w:color w:val="C00000"/>
        </w:rPr>
        <w:t xml:space="preserve">Cite De Luca's foundational reviews; mention typical sEMG bandwidth (20–500 Hz), amplitude range (μV–mV), and primary noise sources (motion artefact, electrode–skin impedance variation, 50/60 Hz mains).</w:t>
      </w:r>
      <w:r>
        <w:rPr>
          <w:b/>
          <w:bCs/>
          <w:color w:val="C00000"/>
        </w:rPr>
        <w:t xml:space="preserve">]</w:t>
      </w:r>
    </w:p>
    <w:p>
      <w:pPr>
        <w:pStyle w:val="Heading2"/>
        <w:spacing w:after="240" w:before="360"/>
      </w:pPr>
      <w:r>
        <w:t xml:space="preserve">2.2 sEMG-Based Prosthetic Control</w:t>
      </w:r>
    </w:p>
    <w:p>
      <w:pPr>
        <w:spacing w:after="200" w:line="360"/>
        <w:jc w:val="both"/>
      </w:pPr>
      <w:r>
        <w:t xml:space="preserve">Early myoelectric prostheses relied on simple amplitude-threshold or onset-detection schemes, with each EMG channel mapped directly to a single prosthetic function. Such systems were robust but offered limited expressivity. Pattern-recognition control, introduced by Hudgins et al., reframed the problem as classification: a feature vector extracted from each EMG window is fed to a classifier that outputs one of a predefined set of intended movements.</w:t>
      </w:r>
    </w:p>
    <w:p>
      <w:pPr>
        <w:spacing w:after="200" w:line="360"/>
        <w:jc w:val="both"/>
      </w:pPr>
      <w:r>
        <w:rPr>
          <w:b/>
          <w:bCs/>
          <w:color w:val="C00000"/>
        </w:rPr>
        <w:t xml:space="preserve">[TODO: </w:t>
      </w:r>
      <w:r>
        <w:rPr>
          <w:i/>
          <w:iCs/>
          <w:color w:val="C00000"/>
        </w:rPr>
        <w:t xml:space="preserve">Summarise Hudgins TD feature set (MAV, ZC, SSC, WL), Englehart real-time control scheme, the NinaPro datasets and Atzori review.</w:t>
      </w:r>
      <w:r>
        <w:rPr>
          <w:b/>
          <w:bCs/>
          <w:color w:val="C00000"/>
        </w:rPr>
        <w:t xml:space="preserve">]</w:t>
      </w:r>
    </w:p>
    <w:p>
      <w:pPr>
        <w:pStyle w:val="Heading2"/>
        <w:spacing w:after="240" w:before="360"/>
      </w:pPr>
      <w:r>
        <w:t xml:space="preserve">2.3 Machine Learning Approaches for EMG Classification</w:t>
      </w:r>
    </w:p>
    <w:p>
      <w:pPr>
        <w:spacing w:after="200" w:line="360"/>
        <w:jc w:val="both"/>
      </w:pPr>
      <w:r>
        <w:t xml:space="preserve">Classical machine learning approaches — Linear Discriminant Analysis, Support Vector Machines, k-Nearest Neighbours, and Random Forests — remain widely used in EMG pattern recognition due to their interpretability, modest data requirements, and fast training times. More recently, deep learning architectures, particularly 1D and 2D Convolutional Neural Networks, have been applied directly to minimally-processed EMG signals.</w:t>
      </w:r>
    </w:p>
    <w:p>
      <w:pPr>
        <w:spacing w:after="200" w:line="360"/>
        <w:jc w:val="both"/>
      </w:pPr>
      <w:r>
        <w:rPr>
          <w:b/>
          <w:bCs/>
          <w:color w:val="C00000"/>
        </w:rPr>
        <w:t xml:space="preserve">[TODO: </w:t>
      </w:r>
      <w:r>
        <w:rPr>
          <w:i/>
          <w:iCs/>
          <w:color w:val="C00000"/>
        </w:rPr>
        <w:t xml:space="preserve">Summarise CNN-based EMG work (Atzori 2016, Geng 2016, Côté-Allard 2019). Note that deep models often require substantially more training data than classical models and that calibration costs can be a barrier in clinical settings.</w:t>
      </w:r>
      <w:r>
        <w:rPr>
          <w:b/>
          <w:bCs/>
          <w:color w:val="C00000"/>
        </w:rPr>
        <w:t xml:space="preserve">]</w:t>
      </w:r>
    </w:p>
    <w:p>
      <w:pPr>
        <w:pStyle w:val="Heading2"/>
        <w:spacing w:after="240" w:before="360"/>
      </w:pPr>
      <w:r>
        <w:t xml:space="preserve">2.4 Multi-DoF Control with Limited EMG Channels</w:t>
      </w:r>
    </w:p>
    <w:p>
      <w:pPr>
        <w:spacing w:after="200" w:line="360"/>
        <w:jc w:val="both"/>
      </w:pPr>
      <w:r>
        <w:t xml:space="preserve">A persistent challenge in low-channel sEMG systems is the mismatch between the number of available control inputs (typically one to four) and the number of independent degrees of freedom of the target prosthetic system (often six or more). Mode-switching schemes, in which a specific muscular event triggers a transition between control modes, are commonly used in commercial prostheses; the user effectively serialises multi-DoF control across time. Simultaneous proportional control, in which multiple DoFs are activated continuously by a regression model, remains an active research area but typically requires denser electrode arrays.</w:t>
      </w:r>
    </w:p>
    <w:p>
      <w:pPr>
        <w:pStyle w:val="Heading2"/>
        <w:spacing w:after="240" w:before="360"/>
      </w:pPr>
      <w:r>
        <w:t xml:space="preserve">2.5 Low-Cost EMG Platforms</w:t>
      </w:r>
    </w:p>
    <w:p>
      <w:pPr>
        <w:spacing w:after="200" w:line="360"/>
        <w:jc w:val="both"/>
      </w:pPr>
      <w:r>
        <w:t xml:space="preserve">Several open and semi-open hardware platforms have lowered the entry cost for EMG research, including MyoWare, OpenBCI, and BITalino. However, most reported low-cost systems are not formally characterised against clinical-grade references, and very few couple their hardware to a complete, reproducible software stack covering training, inference, and control.</w:t>
      </w:r>
    </w:p>
    <w:p>
      <w:pPr>
        <w:pStyle w:val="Heading2"/>
        <w:spacing w:after="240" w:before="360"/>
      </w:pPr>
      <w:r>
        <w:t xml:space="preserve">2.6 Research Gap and Positioning</w:t>
      </w:r>
    </w:p>
    <w:p>
      <w:pPr>
        <w:spacing w:after="200" w:line="360"/>
        <w:jc w:val="both"/>
      </w:pPr>
      <w:r>
        <w:t xml:space="preserve">The literature reviewed above motivates the contributions of this thesis. First, while several low-cost EMG acquisition platforms exist, few are accompanied by an open, end-to-end software pipeline that covers training, real-time inference, and arm control. Second, the integration of a graphical user interface that supports cue-based data acquisition and virtual-arm preview — important for both user training and reproducibility — is rarely addressed in published academic work. This thesis aims to close those gaps within a strict cost budget.</w:t>
      </w:r>
    </w:p>
    <w:p>
      <w:r>
        <w:br w:type="page"/>
      </w:r>
    </w:p>
    <w:p>
      <w:pPr>
        <w:pStyle w:val="Heading1"/>
        <w:spacing w:after="240" w:before="360"/>
      </w:pPr>
      <w:r>
        <w:t xml:space="preserve">Chapter 3: Methodology</w:t>
      </w:r>
    </w:p>
    <w:p>
      <w:pPr>
        <w:pStyle w:val="Heading2"/>
        <w:spacing w:after="240" w:before="360"/>
      </w:pPr>
      <w:r>
        <w:t xml:space="preserve">3.1 System Overview</w:t>
      </w:r>
    </w:p>
    <w:p>
      <w:pPr>
        <w:spacing w:after="200" w:line="360"/>
        <w:jc w:val="both"/>
      </w:pPr>
      <w:r>
        <w:t xml:space="preserve">The proposed system consists of five tightly-coupled stages: (i) signal acquisition from two surface electrodes via an analog front-end and an Arduino microcontroller; (ii) preprocessing comprising DC removal, bandpass filtering, notch filtering, full-wave rectification, and envelope extraction; (iii) sliding-window segmentation and feature extraction; (iv) supervised classification with a Random Forest or 1D CNN; and (v) a finite-state controller that maps classifier output to commands for a six-DoF servo-driven robotic arm.</w:t>
      </w:r>
    </w:p>
    <w:p>
      <w:pPr>
        <w:spacing w:after="200" w:line="360"/>
        <w:jc w:val="both"/>
      </w:pPr>
      <w:r>
        <w:rPr>
          <w:b/>
          <w:bCs/>
          <w:color w:val="C00000"/>
        </w:rPr>
        <w:t xml:space="preserve">[TODO: </w:t>
      </w:r>
      <w:r>
        <w:rPr>
          <w:i/>
          <w:iCs/>
          <w:color w:val="C00000"/>
        </w:rPr>
        <w:t xml:space="preserve">Insert Figure 3.1 — system block diagram. The PNG version is in paper/figures/system_overview.png once exported.</w:t>
      </w:r>
      <w:r>
        <w:rPr>
          <w:b/>
          <w:bCs/>
          <w:color w:val="C00000"/>
        </w:rPr>
        <w:t xml:space="preserve">]</w:t>
      </w:r>
    </w:p>
    <w:p>
      <w:pPr>
        <w:pStyle w:val="Heading2"/>
        <w:spacing w:after="240" w:before="360"/>
      </w:pPr>
      <w:r>
        <w:t xml:space="preserve">3.2 Signal Acquisition</w:t>
      </w:r>
    </w:p>
    <w:p>
      <w:pPr>
        <w:spacing w:after="200" w:line="360"/>
        <w:jc w:val="both"/>
      </w:pPr>
      <w:r>
        <w:t xml:space="preserve">Each acquisition channel uses a pair of pre-gelled Ag/AgCl ECG electrodes placed in a bipolar configuration along the long axis of the target muscle, with a third reference electrode placed on an electrically neutral site such as the bony prominence of the elbow. The differential signal is amplified by an AD620 instrumentation amplifier, whose high common-mode rejection ratio (CMRR &gt; 100 dB at 60 Hz) is well suited to extracting the small EMG signal from the noisy electrode environment.</w:t>
      </w:r>
    </w:p>
    <w:p>
      <w:pPr>
        <w:spacing w:after="200" w:line="360"/>
        <w:jc w:val="both"/>
      </w:pPr>
      <w:r>
        <w:t xml:space="preserve">A second-order active bandpass filter (20–450 Hz) follows the instrumentation amplifier, removing both low-frequency motion artefacts and high-frequency noise. A twin-T notch filter centred at 50 Hz suppresses mains coupling. The conditioned signal is sampled by the 10-bit ADC of an Arduino Nano at a target rate of either 1 kHz (for raw signal processing in software) or 200 Hz (when the analog stage produces an envelope).</w:t>
      </w:r>
    </w:p>
    <w:p>
      <w:pPr>
        <w:spacing w:after="200" w:line="360"/>
        <w:jc w:val="both"/>
      </w:pPr>
      <w:r>
        <w:rPr>
          <w:b/>
          <w:bCs/>
          <w:color w:val="C00000"/>
        </w:rPr>
        <w:t xml:space="preserve">[TODO: </w:t>
      </w:r>
      <w:r>
        <w:rPr>
          <w:i/>
          <w:iCs/>
          <w:color w:val="C00000"/>
        </w:rPr>
        <w:t xml:space="preserve">Insert Figure 3.2 — analog front-end schematic.</w:t>
      </w:r>
      <w:r>
        <w:rPr>
          <w:b/>
          <w:bCs/>
          <w:color w:val="C00000"/>
        </w:rPr>
        <w:t xml:space="preserve">]</w:t>
      </w:r>
    </w:p>
    <w:p>
      <w:pPr>
        <w:pStyle w:val="Heading2"/>
        <w:spacing w:after="240" w:before="360"/>
      </w:pPr>
      <w:r>
        <w:t xml:space="preserve">3.3 Preprocessing</w:t>
      </w:r>
    </w:p>
    <w:p>
      <w:pPr>
        <w:spacing w:after="200" w:line="360"/>
        <w:jc w:val="both"/>
      </w:pPr>
      <w:r>
        <w:t xml:space="preserve">Although the analog stage performs most of the conditioning, additional digital preprocessing is applied for robustness. Each incoming window is first centred by subtracting its per-channel mean. A fourth-order Butterworth bandpass between 20 Hz and 450 Hz is applied, followed by an IIR notch at 50 Hz with quality factor Q = 30. For streaming applications, stateful filter implementations preserve internal state between successive chunks to avoid edge transients.</w:t>
      </w:r>
    </w:p>
    <w:p>
      <w:pPr>
        <w:spacing w:after="200" w:line="360"/>
        <w:jc w:val="both"/>
      </w:pPr>
      <w:r>
        <w:t xml:space="preserve">The conditioned signal is full-wave rectified and smoothed by a 100 ms moving-average window to produce a slow-moving envelope suitable for downstream segmentation.</w:t>
      </w:r>
    </w:p>
    <w:p>
      <w:pPr>
        <w:pStyle w:val="Heading2"/>
        <w:spacing w:after="240" w:before="360"/>
      </w:pPr>
      <w:r>
        <w:t xml:space="preserve">3.4 Segmentation</w:t>
      </w:r>
    </w:p>
    <w:p>
      <w:pPr>
        <w:spacing w:after="200" w:line="360"/>
        <w:jc w:val="both"/>
      </w:pPr>
      <w:r>
        <w:t xml:space="preserve">Fixed-length sliding windows of duration T_win = 200 ms with a hop of T_hop = 100 ms (50 % overlap) are extracted from the envelope. For 200 Hz sampling this yields 40 samples per window, producing 10 classification decisions per second — sufficient for natural prosthetic-style control.</w:t>
      </w:r>
    </w:p>
    <w:p>
      <w:pPr>
        <w:pStyle w:val="Heading2"/>
        <w:spacing w:after="240" w:before="360"/>
      </w:pPr>
      <w:r>
        <w:t xml:space="preserve">3.5 Feature Extraction</w:t>
      </w:r>
    </w:p>
    <w:p>
      <w:pPr>
        <w:spacing w:after="200" w:line="360"/>
        <w:jc w:val="both"/>
      </w:pPr>
      <w:r>
        <w:t xml:space="preserve">For each window the following features are computed per channel:</w:t>
      </w:r>
    </w:p>
    <w:p>
      <w:pPr>
        <w:pStyle w:val="ListParagraph"/>
        <w:numPr>
          <w:ilvl w:val="0"/>
          <w:numId w:val="2"/>
        </w:numPr>
        <w:spacing w:after="100" w:line="320"/>
      </w:pPr>
      <w:r>
        <w:t xml:space="preserve">Mean Absolute Value (MAV) — average of the absolute sample values; correlates with contraction strength.</w:t>
      </w:r>
    </w:p>
    <w:p>
      <w:pPr>
        <w:pStyle w:val="ListParagraph"/>
        <w:numPr>
          <w:ilvl w:val="0"/>
          <w:numId w:val="2"/>
        </w:numPr>
        <w:spacing w:after="100" w:line="320"/>
      </w:pPr>
      <w:r>
        <w:t xml:space="preserve">Root Mean Square (RMS) — energy estimator, equivalent to the standard deviation when the mean is zero.</w:t>
      </w:r>
    </w:p>
    <w:p>
      <w:pPr>
        <w:pStyle w:val="ListParagraph"/>
        <w:numPr>
          <w:ilvl w:val="0"/>
          <w:numId w:val="2"/>
        </w:numPr>
        <w:spacing w:after="100" w:line="320"/>
      </w:pPr>
      <w:r>
        <w:t xml:space="preserve">Waveform Length (WL) — cumulative absolute change between consecutive samples; sensitive to both amplitude and frequency.</w:t>
      </w:r>
    </w:p>
    <w:p>
      <w:pPr>
        <w:pStyle w:val="ListParagraph"/>
        <w:numPr>
          <w:ilvl w:val="0"/>
          <w:numId w:val="2"/>
        </w:numPr>
        <w:spacing w:after="100" w:line="320"/>
      </w:pPr>
      <w:r>
        <w:t xml:space="preserve">Zero Crossings (ZC) — number of times the signal crosses zero with a dead-band threshold, capturing the dominant frequency content.</w:t>
      </w:r>
    </w:p>
    <w:p>
      <w:pPr>
        <w:pStyle w:val="ListParagraph"/>
        <w:numPr>
          <w:ilvl w:val="0"/>
          <w:numId w:val="2"/>
        </w:numPr>
        <w:spacing w:after="100" w:line="320"/>
      </w:pPr>
      <w:r>
        <w:t xml:space="preserve">Slope Sign Changes (SSC) — count of changes in the sign of consecutive differences, also a frequency proxy.</w:t>
      </w:r>
    </w:p>
    <w:p>
      <w:pPr>
        <w:pStyle w:val="ListParagraph"/>
        <w:numPr>
          <w:ilvl w:val="0"/>
          <w:numId w:val="2"/>
        </w:numPr>
        <w:spacing w:after="100" w:line="320"/>
      </w:pPr>
      <w:r>
        <w:t xml:space="preserve">Mean Frequency (MNF) — first spectral moment of the FFT-based power spectrum.</w:t>
      </w:r>
    </w:p>
    <w:p>
      <w:pPr>
        <w:pStyle w:val="ListParagraph"/>
        <w:numPr>
          <w:ilvl w:val="0"/>
          <w:numId w:val="2"/>
        </w:numPr>
        <w:spacing w:after="100" w:line="320"/>
      </w:pPr>
      <w:r>
        <w:t xml:space="preserve">Median Frequency (MDF) — frequency that splits the power spectrum into two equal halves; often used as a fatigue indicator.</w:t>
      </w:r>
    </w:p>
    <w:p>
      <w:pPr>
        <w:spacing w:after="200" w:line="360"/>
        <w:jc w:val="both"/>
      </w:pPr>
      <w:r>
        <w:t xml:space="preserve">With C = 2 channels the feature vector has length 14.</w:t>
      </w:r>
    </w:p>
    <w:p>
      <w:pPr>
        <w:pStyle w:val="Heading2"/>
        <w:spacing w:after="240" w:before="360"/>
      </w:pPr>
      <w:r>
        <w:t xml:space="preserve">3.6 Classification</w:t>
      </w:r>
    </w:p>
    <w:p>
      <w:pPr>
        <w:spacing w:after="200" w:line="360"/>
        <w:jc w:val="both"/>
      </w:pPr>
      <w:r>
        <w:t xml:space="preserve">Two model families are evaluated.</w:t>
      </w:r>
    </w:p>
    <w:p>
      <w:pPr>
        <w:pStyle w:val="Heading3"/>
      </w:pPr>
      <w:r>
        <w:t xml:space="preserve">3.6.1 Random Forest (classical baseline)</w:t>
      </w:r>
    </w:p>
    <w:p>
      <w:pPr>
        <w:spacing w:after="200" w:line="360"/>
        <w:jc w:val="both"/>
      </w:pPr>
      <w:r>
        <w:t xml:space="preserve">A Random Forest with 300 decision trees, balanced class weights, and default Gini-impurity splitting is trained on the 14-dimensional feature vector. Random Forests are chosen as the primary classical baseline for their robustness to feature scaling, ability to handle small datasets, and interpretability through feature-importance scores.</w:t>
      </w:r>
    </w:p>
    <w:p>
      <w:pPr>
        <w:pStyle w:val="Heading3"/>
      </w:pPr>
      <w:r>
        <w:t xml:space="preserve">3.6.2 1D Convolutional Neural Network</w:t>
      </w:r>
    </w:p>
    <w:p>
      <w:pPr>
        <w:spacing w:after="200" w:line="360"/>
        <w:jc w:val="both"/>
      </w:pPr>
      <w:r>
        <w:t xml:space="preserve">A compact 1D CNN operates directly on the raw windowed signal (shape: C × T_samples) without hand-crafted features. The architecture consists of three Conv1D blocks (16, 32, and 64 filters respectively) with BatchNorm and ReLU activations, two max-pooling stages, a global-average-pooling layer, and a dropout-regularised linear classification head. The model is trained with Adam (learning rate 1e-3) and cross-entropy loss for 25 epochs.</w:t>
      </w:r>
    </w:p>
    <w:p>
      <w:pPr>
        <w:pStyle w:val="Heading2"/>
        <w:spacing w:after="240" w:before="360"/>
      </w:pPr>
      <w:r>
        <w:t xml:space="preserve">3.7 Mode-Based Control</w:t>
      </w:r>
    </w:p>
    <w:p>
      <w:pPr>
        <w:spacing w:after="200" w:line="360"/>
        <w:jc w:val="both"/>
      </w:pPr>
      <w:r>
        <w:t xml:space="preserve">A finite-state controller maps the four-class classifier output {REST, CH1, CH2, BOTH} onto the six DoFs of the target arm. Three control modes are defined:</w:t>
      </w:r>
    </w:p>
    <w:p>
      <w:pPr>
        <w:pStyle w:val="ListParagraph"/>
        <w:numPr>
          <w:ilvl w:val="0"/>
          <w:numId w:val="2"/>
        </w:numPr>
        <w:spacing w:after="100" w:line="320"/>
      </w:pPr>
      <w:r>
        <w:t xml:space="preserve">GRIP — CH1 closes the claw, CH2 opens it.</w:t>
      </w:r>
    </w:p>
    <w:p>
      <w:pPr>
        <w:pStyle w:val="ListParagraph"/>
        <w:numPr>
          <w:ilvl w:val="0"/>
          <w:numId w:val="2"/>
        </w:numPr>
        <w:spacing w:after="100" w:line="320"/>
      </w:pPr>
      <w:r>
        <w:t xml:space="preserve">WRIST — CH1 rotates the wrist left, CH2 rotates right.</w:t>
      </w:r>
    </w:p>
    <w:p>
      <w:pPr>
        <w:pStyle w:val="ListParagraph"/>
        <w:numPr>
          <w:ilvl w:val="0"/>
          <w:numId w:val="2"/>
        </w:numPr>
        <w:spacing w:after="100" w:line="320"/>
      </w:pPr>
      <w:r>
        <w:t xml:space="preserve">ARM — CH1 moves the arm up, CH2 moves it down.</w:t>
      </w:r>
    </w:p>
    <w:p>
      <w:pPr>
        <w:spacing w:after="200" w:line="360"/>
        <w:jc w:val="both"/>
      </w:pPr>
      <w:r>
        <w:t xml:space="preserve">Sustained co-contraction (the BOTH class) above a configurable strength threshold for a configurable number of consecutive windows triggers a mode advance. A cooldown period after each transition suppresses unintended double switches. Within each mode, the contraction strength is propagated to the controller as a proportional speed term.</w:t>
      </w:r>
    </w:p>
    <w:p>
      <w:r>
        <w:br w:type="page"/>
      </w:r>
    </w:p>
    <w:p>
      <w:pPr>
        <w:pStyle w:val="Heading1"/>
        <w:spacing w:after="240" w:before="360"/>
      </w:pPr>
      <w:r>
        <w:t xml:space="preserve">Chapter 4: Implementation</w:t>
      </w:r>
    </w:p>
    <w:p>
      <w:pPr>
        <w:pStyle w:val="Heading2"/>
        <w:spacing w:after="240" w:before="360"/>
      </w:pPr>
      <w:r>
        <w:t xml:space="preserve">4.1 Hardware Implementation</w:t>
      </w:r>
    </w:p>
    <w:p>
      <w:pPr>
        <w:spacing w:after="200" w:line="360"/>
        <w:jc w:val="both"/>
      </w:pPr>
      <w:r>
        <w:t xml:space="preserve">The analog front-end is assembled on perforated prototype board and powered by a 9 V battery, with a TL072-based virtual-ground rail providing the bipolar supply required by the operational amplifiers. The full bill of materials is shown in Table 4.1.</w:t>
      </w:r>
    </w:p>
    <w:p>
      <w:pPr>
        <w:spacing w:after="200" w:line="360"/>
        <w:jc w:val="both"/>
      </w:pPr>
      <w:r>
        <w:rPr>
          <w:b/>
          <w:bCs/>
          <w:color w:val="C00000"/>
        </w:rPr>
        <w:t xml:space="preserve">[TODO: </w:t>
      </w:r>
      <w:r>
        <w:rPr>
          <w:i/>
          <w:iCs/>
          <w:color w:val="C00000"/>
        </w:rPr>
        <w:t xml:space="preserve">Insert Table 4.1 — Bill of Materials with parts, quantity, supplier, and BDT prices. The Markdown version is in README.md.</w:t>
      </w:r>
      <w:r>
        <w:rPr>
          <w:b/>
          <w:bCs/>
          <w:color w:val="C00000"/>
        </w:rPr>
        <w:t xml:space="preserve">]</w:t>
      </w:r>
    </w:p>
    <w:p>
      <w:pPr>
        <w:spacing w:after="200" w:line="360"/>
        <w:jc w:val="both"/>
      </w:pPr>
      <w:r>
        <w:t xml:space="preserve">The Arduino Nano communicates with the host PC over USB at 115200 baud, transmitting comma-separated 10-bit ADC samples one per line.</w:t>
      </w:r>
    </w:p>
    <w:p>
      <w:pPr>
        <w:pStyle w:val="Heading2"/>
        <w:spacing w:after="240" w:before="360"/>
      </w:pPr>
      <w:r>
        <w:t xml:space="preserve">4.2 Software Architecture</w:t>
      </w:r>
    </w:p>
    <w:p>
      <w:pPr>
        <w:spacing w:after="200" w:line="360"/>
        <w:jc w:val="both"/>
      </w:pPr>
      <w:r>
        <w:t xml:space="preserve">The Python codebase follows a modular package layout under emg_ai_arm/. Each stage of the pipeline corresponds to a self-contained sub-package:</w:t>
      </w:r>
    </w:p>
    <w:p>
      <w:pPr>
        <w:pStyle w:val="ListParagraph"/>
        <w:numPr>
          <w:ilvl w:val="0"/>
          <w:numId w:val="2"/>
        </w:numPr>
        <w:spacing w:after="100" w:line="320"/>
      </w:pPr>
      <w:r>
        <w:t xml:space="preserve">acquisition/ — serial reader for the Arduino front-end, plus CSV recording and replay utilities.</w:t>
      </w:r>
    </w:p>
    <w:p>
      <w:pPr>
        <w:pStyle w:val="ListParagraph"/>
        <w:numPr>
          <w:ilvl w:val="0"/>
          <w:numId w:val="2"/>
        </w:numPr>
        <w:spacing w:after="100" w:line="320"/>
      </w:pPr>
      <w:r>
        <w:t xml:space="preserve">emulator/ — synthetic-signal generator that mimics the structure of real recordings, allowing software development without hardware.</w:t>
      </w:r>
    </w:p>
    <w:p>
      <w:pPr>
        <w:pStyle w:val="ListParagraph"/>
        <w:numPr>
          <w:ilvl w:val="0"/>
          <w:numId w:val="2"/>
        </w:numPr>
        <w:spacing w:after="100" w:line="320"/>
      </w:pPr>
      <w:r>
        <w:t xml:space="preserve">preprocessing/ — stateless and stateful filter, envelope, and windowing implementations.</w:t>
      </w:r>
    </w:p>
    <w:p>
      <w:pPr>
        <w:pStyle w:val="ListParagraph"/>
        <w:numPr>
          <w:ilvl w:val="0"/>
          <w:numId w:val="2"/>
        </w:numPr>
        <w:spacing w:after="100" w:line="320"/>
      </w:pPr>
      <w:r>
        <w:t xml:space="preserve">features/ — feature-vector construction.</w:t>
      </w:r>
    </w:p>
    <w:p>
      <w:pPr>
        <w:pStyle w:val="ListParagraph"/>
        <w:numPr>
          <w:ilvl w:val="0"/>
          <w:numId w:val="2"/>
        </w:numPr>
        <w:spacing w:after="100" w:line="320"/>
      </w:pPr>
      <w:r>
        <w:t xml:space="preserve">models/ — Random Forest and 1D CNN training scripts, plus inference utilities.</w:t>
      </w:r>
    </w:p>
    <w:p>
      <w:pPr>
        <w:pStyle w:val="ListParagraph"/>
        <w:numPr>
          <w:ilvl w:val="0"/>
          <w:numId w:val="2"/>
        </w:numPr>
        <w:spacing w:after="100" w:line="320"/>
      </w:pPr>
      <w:r>
        <w:t xml:space="preserve">control/ — the mode-based finite-state controller.</w:t>
      </w:r>
    </w:p>
    <w:p>
      <w:pPr>
        <w:pStyle w:val="ListParagraph"/>
        <w:numPr>
          <w:ilvl w:val="0"/>
          <w:numId w:val="2"/>
        </w:numPr>
        <w:spacing w:after="100" w:line="320"/>
      </w:pPr>
      <w:r>
        <w:t xml:space="preserve">visualization/ — PyQt6 application with three tabs and a virtual-arm widget.</w:t>
      </w:r>
    </w:p>
    <w:p>
      <w:pPr>
        <w:pStyle w:val="ListParagraph"/>
        <w:numPr>
          <w:ilvl w:val="0"/>
          <w:numId w:val="2"/>
        </w:numPr>
        <w:spacing w:after="100" w:line="320"/>
      </w:pPr>
      <w:r>
        <w:t xml:space="preserve">utils/ — shared paths and configuration.</w:t>
      </w:r>
    </w:p>
    <w:p>
      <w:pPr>
        <w:pStyle w:val="Heading2"/>
        <w:spacing w:after="240" w:before="360"/>
      </w:pPr>
      <w:r>
        <w:t xml:space="preserve">4.3 Graphical User Interface</w:t>
      </w:r>
    </w:p>
    <w:p>
      <w:pPr>
        <w:spacing w:after="200" w:line="360"/>
        <w:jc w:val="both"/>
      </w:pPr>
      <w:r>
        <w:t xml:space="preserve">The PyQt6 application exposes three tabs that share a common background worker thread:</w:t>
      </w:r>
    </w:p>
    <w:p>
      <w:pPr>
        <w:pStyle w:val="Heading3"/>
      </w:pPr>
      <w:r>
        <w:t xml:space="preserve">4.3.1 Live signal viewer</w:t>
      </w:r>
    </w:p>
    <w:p>
      <w:pPr>
        <w:spacing w:after="200" w:line="360"/>
        <w:jc w:val="both"/>
      </w:pPr>
      <w:r>
        <w:t xml:space="preserve">A scrolling pyqtgraph plot displays the eight-second history of both EMG channels in real time, updated as each new window arrives.</w:t>
      </w:r>
    </w:p>
    <w:p>
      <w:pPr>
        <w:pStyle w:val="Heading3"/>
      </w:pPr>
      <w:r>
        <w:t xml:space="preserve">4.3.2 Cue-based trainer</w:t>
      </w:r>
    </w:p>
    <w:p>
      <w:pPr>
        <w:spacing w:after="200" w:line="360"/>
        <w:jc w:val="both"/>
      </w:pPr>
      <w:r>
        <w:t xml:space="preserve">The user specifies the number of trials per class and the durations of the action and rest phases. The application then cycles through the trial sequence, presenting colour-coded cues to the user and automatically labelling all windows recorded during action phases with the cued class. The completed session is saved as a compressed NumPy archive and can be used to train a Random Forest directly from the GUI.</w:t>
      </w:r>
    </w:p>
    <w:p>
      <w:pPr>
        <w:pStyle w:val="Heading3"/>
      </w:pPr>
      <w:r>
        <w:t xml:space="preserve">4.3.3 Inference + virtual arm</w:t>
      </w:r>
    </w:p>
    <w:p>
      <w:pPr>
        <w:spacing w:after="200" w:line="360"/>
        <w:jc w:val="both"/>
      </w:pPr>
      <w:r>
        <w:t xml:space="preserve">A previously trained classifier is loaded from disk. Each incoming window is classified, the prediction is fed to the state-machine controller, and the resulting command updates a two-dimensional schematic of the arm rendered with QPainter. Joints animate smoothly toward their target angles at 30 frames per second, allowing the user to validate the entire control pipeline without physical hardware.</w:t>
      </w:r>
    </w:p>
    <w:p>
      <w:pPr>
        <w:spacing w:after="200" w:line="360"/>
        <w:jc w:val="both"/>
      </w:pPr>
      <w:r>
        <w:rPr>
          <w:b/>
          <w:bCs/>
          <w:color w:val="C00000"/>
        </w:rPr>
        <w:t xml:space="preserve">[TODO: </w:t>
      </w:r>
      <w:r>
        <w:rPr>
          <w:i/>
          <w:iCs/>
          <w:color w:val="C00000"/>
        </w:rPr>
        <w:t xml:space="preserve">Insert Figures 4.1–4.3 — screenshots of the three tabs once available.</w:t>
      </w:r>
      <w:r>
        <w:rPr>
          <w:b/>
          <w:bCs/>
          <w:color w:val="C00000"/>
        </w:rPr>
        <w:t xml:space="preserve">]</w:t>
      </w:r>
    </w:p>
    <w:p>
      <w:pPr>
        <w:pStyle w:val="Heading2"/>
        <w:spacing w:after="240" w:before="360"/>
      </w:pPr>
      <w:r>
        <w:t xml:space="preserve">4.4 Reproducibility</w:t>
      </w:r>
    </w:p>
    <w:p>
      <w:pPr>
        <w:spacing w:after="200" w:line="360"/>
        <w:jc w:val="both"/>
      </w:pPr>
      <w:r>
        <w:t xml:space="preserve">All experiments reported in Chapter 5 can be reproduced from the public repository. The synthetic emulator generates deterministic data given a random seed, enabling pipeline tests in the absence of hardware. A requirements.txt file pins all Python dependencies, and the README provides a six-step quickstart.</w:t>
      </w:r>
    </w:p>
    <w:p>
      <w:r>
        <w:br w:type="page"/>
      </w:r>
    </w:p>
    <w:p>
      <w:pPr>
        <w:pStyle w:val="Heading1"/>
        <w:spacing w:after="240" w:before="360"/>
      </w:pPr>
      <w:r>
        <w:t xml:space="preserve">Chapter 5: Results and Evaluation</w:t>
      </w:r>
    </w:p>
    <w:p>
      <w:pPr>
        <w:pStyle w:val="Heading2"/>
        <w:spacing w:after="240" w:before="360"/>
      </w:pPr>
      <w:r>
        <w:t xml:space="preserve">5.1 Experimental Protocol</w:t>
      </w:r>
    </w:p>
    <w:p>
      <w:pPr>
        <w:spacing w:after="200" w:line="360"/>
        <w:jc w:val="both"/>
      </w:pPr>
      <w:r>
        <w:rPr>
          <w:b/>
          <w:bCs/>
          <w:color w:val="C00000"/>
        </w:rPr>
        <w:t xml:space="preserve">[TODO: </w:t>
      </w:r>
      <w:r>
        <w:rPr>
          <w:i/>
          <w:iCs/>
          <w:color w:val="C00000"/>
        </w:rPr>
        <w:t xml:space="preserve">Describe the data collection protocol: number of participants, age/sex distribution, electrode placement (forearm flexor and extensor groups, with optional sketch), number of sessions per participant, trials per class, action and rest durations, total recording time, informed consent procedure.</w:t>
      </w:r>
      <w:r>
        <w:rPr>
          <w:b/>
          <w:bCs/>
          <w:color w:val="C00000"/>
        </w:rPr>
        <w:t xml:space="preserve">]</w:t>
      </w:r>
    </w:p>
    <w:p>
      <w:pPr>
        <w:pStyle w:val="Heading2"/>
        <w:spacing w:after="240" w:before="360"/>
      </w:pPr>
      <w:r>
        <w:t xml:space="preserve">5.2 Synthetic-Data Sanity Check</w:t>
      </w:r>
    </w:p>
    <w:p>
      <w:pPr>
        <w:spacing w:after="200" w:line="360"/>
        <w:jc w:val="both"/>
      </w:pPr>
      <w:r>
        <w:t xml:space="preserve">Before evaluating on human data, the complete pipeline was validated against the included synthetic-signal emulator. The Random Forest baseline trained on 1500 windows per class achieves perfect classification on the trivially-separable synthetic dataset, confirming that the feature extraction and training code function correctly. The 1D CNN achieves comparable accuracy after 25 epochs of training.</w:t>
      </w:r>
    </w:p>
    <w:p>
      <w:pPr>
        <w:pStyle w:val="Heading2"/>
        <w:spacing w:after="240" w:before="360"/>
      </w:pPr>
      <w:r>
        <w:t xml:space="preserve">5.3 Within-Session Classification Accuracy</w:t>
      </w:r>
    </w:p>
    <w:p>
      <w:pPr>
        <w:spacing w:after="200" w:line="360"/>
        <w:jc w:val="both"/>
      </w:pPr>
      <w:r>
        <w:rPr>
          <w:b/>
          <w:bCs/>
          <w:color w:val="C00000"/>
        </w:rPr>
        <w:t xml:space="preserve">[TODO: </w:t>
      </w:r>
      <w:r>
        <w:rPr>
          <w:i/>
          <w:iCs/>
          <w:color w:val="C00000"/>
        </w:rPr>
        <w:t xml:space="preserve">Report Random Forest and CNN accuracy on within-session held-out windows, per participant and averaged. Include a representative confusion matrix as Figure 5.1.</w:t>
      </w:r>
      <w:r>
        <w:rPr>
          <w:b/>
          <w:bCs/>
          <w:color w:val="C00000"/>
        </w:rPr>
        <w:t xml:space="preserve">]</w:t>
      </w:r>
    </w:p>
    <w:p>
      <w:pPr>
        <w:pStyle w:val="Heading2"/>
        <w:spacing w:after="240" w:before="360"/>
      </w:pPr>
      <w:r>
        <w:t xml:space="preserve">5.4 Cross-Session Generalisation</w:t>
      </w:r>
    </w:p>
    <w:p>
      <w:pPr>
        <w:spacing w:after="200" w:line="360"/>
        <w:jc w:val="both"/>
      </w:pPr>
      <w:r>
        <w:rPr>
          <w:b/>
          <w:bCs/>
          <w:color w:val="C00000"/>
        </w:rPr>
        <w:t xml:space="preserve">[TODO: </w:t>
      </w:r>
      <w:r>
        <w:rPr>
          <w:i/>
          <w:iCs/>
          <w:color w:val="C00000"/>
        </w:rPr>
        <w:t xml:space="preserve">Report accuracy when the model is trained on session 1 and tested on sessions 2..N for each participant. Quantify the drop. Discuss probable causes (electrode displacement, skin impedance change, fatigue).</w:t>
      </w:r>
      <w:r>
        <w:rPr>
          <w:b/>
          <w:bCs/>
          <w:color w:val="C00000"/>
        </w:rPr>
        <w:t xml:space="preserve">]</w:t>
      </w:r>
    </w:p>
    <w:p>
      <w:pPr>
        <w:pStyle w:val="Heading2"/>
        <w:spacing w:after="240" w:before="360"/>
      </w:pPr>
      <w:r>
        <w:t xml:space="preserve">5.5 Cross-User Generalisation</w:t>
      </w:r>
    </w:p>
    <w:p>
      <w:pPr>
        <w:spacing w:after="200" w:line="360"/>
        <w:jc w:val="both"/>
      </w:pPr>
      <w:r>
        <w:rPr>
          <w:b/>
          <w:bCs/>
          <w:color w:val="C00000"/>
        </w:rPr>
        <w:t xml:space="preserve">[TODO: </w:t>
      </w:r>
      <w:r>
        <w:rPr>
          <w:i/>
          <w:iCs/>
          <w:color w:val="C00000"/>
        </w:rPr>
        <w:t xml:space="preserve">Report leave-one-subject-out accuracy. Note: this is typically the hardest test for sEMG systems.</w:t>
      </w:r>
      <w:r>
        <w:rPr>
          <w:b/>
          <w:bCs/>
          <w:color w:val="C00000"/>
        </w:rPr>
        <w:t xml:space="preserve">]</w:t>
      </w:r>
    </w:p>
    <w:p>
      <w:pPr>
        <w:pStyle w:val="Heading2"/>
        <w:spacing w:after="240" w:before="360"/>
      </w:pPr>
      <w:r>
        <w:t xml:space="preserve">5.6 Latency and Stability</w:t>
      </w:r>
    </w:p>
    <w:p>
      <w:pPr>
        <w:spacing w:after="200" w:line="360"/>
        <w:jc w:val="both"/>
      </w:pPr>
      <w:r>
        <w:rPr>
          <w:b/>
          <w:bCs/>
          <w:color w:val="C00000"/>
        </w:rPr>
        <w:t xml:space="preserve">[TODO: </w:t>
      </w:r>
      <w:r>
        <w:rPr>
          <w:i/>
          <w:iCs/>
          <w:color w:val="C00000"/>
        </w:rPr>
        <w:t xml:space="preserve">Report mean ± standard deviation of end-to-end latency measured from sample injection to controller command, broken down by stage (acquisition, preprocessing, feature extraction, classification, control). Report the false-activation rate per minute measured during a one-minute sustained-rest condition.</w:t>
      </w:r>
      <w:r>
        <w:rPr>
          <w:b/>
          <w:bCs/>
          <w:color w:val="C00000"/>
        </w:rPr>
        <w:t xml:space="preserve">]</w:t>
      </w:r>
    </w:p>
    <w:p>
      <w:pPr>
        <w:pStyle w:val="Heading2"/>
        <w:spacing w:after="240" w:before="360"/>
      </w:pPr>
      <w:r>
        <w:t xml:space="preserve">5.7 Ablation Studies</w:t>
      </w:r>
    </w:p>
    <w:p>
      <w:pPr>
        <w:spacing w:after="200" w:line="360"/>
        <w:jc w:val="both"/>
      </w:pPr>
      <w:r>
        <w:rPr>
          <w:b/>
          <w:bCs/>
          <w:color w:val="C00000"/>
        </w:rPr>
        <w:t xml:space="preserve">[TODO: </w:t>
      </w:r>
      <w:r>
        <w:rPr>
          <w:i/>
          <w:iCs/>
          <w:color w:val="C00000"/>
        </w:rPr>
        <w:t xml:space="preserve">Report classification accuracy when: (i) frequency-domain features are removed; (ii) the notch filter is disabled; (iii) the window length is halved or doubled. Use these to justify the design choices documented in Chapter 3.</w:t>
      </w:r>
      <w:r>
        <w:rPr>
          <w:b/>
          <w:bCs/>
          <w:color w:val="C00000"/>
        </w:rPr>
        <w:t xml:space="preserve">]</w:t>
      </w:r>
    </w:p>
    <w:p>
      <w:pPr>
        <w:pStyle w:val="Heading2"/>
        <w:spacing w:after="240" w:before="360"/>
      </w:pPr>
      <w:r>
        <w:t xml:space="preserve">5.8 Discussion</w:t>
      </w:r>
    </w:p>
    <w:p>
      <w:pPr>
        <w:spacing w:after="200" w:line="360"/>
        <w:jc w:val="both"/>
      </w:pPr>
      <w:r>
        <w:rPr>
          <w:b/>
          <w:bCs/>
          <w:color w:val="C00000"/>
        </w:rPr>
        <w:t xml:space="preserve">[TODO: </w:t>
      </w:r>
      <w:r>
        <w:rPr>
          <w:i/>
          <w:iCs/>
          <w:color w:val="C00000"/>
        </w:rPr>
        <w:t xml:space="preserve">Compare achieved accuracy and latency against the published low-cost sEMG benchmarks. Discuss trade-offs and limitations of the chosen approach.</w:t>
      </w:r>
      <w:r>
        <w:rPr>
          <w:b/>
          <w:bCs/>
          <w:color w:val="C00000"/>
        </w:rPr>
        <w:t xml:space="preserve">]</w:t>
      </w:r>
    </w:p>
    <w:p>
      <w:r>
        <w:br w:type="page"/>
      </w:r>
    </w:p>
    <w:p>
      <w:pPr>
        <w:pStyle w:val="Heading1"/>
        <w:spacing w:after="240" w:before="360"/>
      </w:pPr>
      <w:r>
        <w:t xml:space="preserve">Chapter 6: Conclusion and Future Work</w:t>
      </w:r>
    </w:p>
    <w:p>
      <w:pPr>
        <w:pStyle w:val="Heading2"/>
        <w:spacing w:after="240" w:before="360"/>
      </w:pPr>
      <w:r>
        <w:t xml:space="preserve">6.1 Summary</w:t>
      </w:r>
    </w:p>
    <w:p>
      <w:pPr>
        <w:spacing w:after="200" w:line="360"/>
        <w:jc w:val="both"/>
      </w:pPr>
      <w:r>
        <w:t xml:space="preserve">This thesis presented the design, implementation, and evaluation of an end-to-end sEMG-based human–machine interface for the control of a six-degree-of-freedom robotic arm. A custom analog front-end built around the AD620 instrumentation amplifier, combined with an Arduino-based acquisition stage and a modular Python software pipeline, demonstrates that intuitive multi-DoF control is achievable at hardware costs well below the threshold of commercial alternatives.</w:t>
      </w:r>
    </w:p>
    <w:p>
      <w:pPr>
        <w:spacing w:after="200" w:line="360"/>
        <w:jc w:val="both"/>
      </w:pPr>
      <w:r>
        <w:rPr>
          <w:b/>
          <w:bCs/>
          <w:color w:val="C00000"/>
        </w:rPr>
        <w:t xml:space="preserve">[TODO: </w:t>
      </w:r>
      <w:r>
        <w:rPr>
          <w:i/>
          <w:iCs/>
          <w:color w:val="C00000"/>
        </w:rPr>
        <w:t xml:space="preserve">Replace this paragraph with a one-sentence summary of the headline accuracy/latency numbers from Chapter 5.</w:t>
      </w:r>
      <w:r>
        <w:rPr>
          <w:b/>
          <w:bCs/>
          <w:color w:val="C00000"/>
        </w:rPr>
        <w:t xml:space="preserve">]</w:t>
      </w:r>
    </w:p>
    <w:p>
      <w:pPr>
        <w:pStyle w:val="Heading2"/>
        <w:spacing w:after="240" w:before="360"/>
      </w:pPr>
      <w:r>
        <w:t xml:space="preserve">6.2 Limitations</w:t>
      </w:r>
    </w:p>
    <w:p>
      <w:pPr>
        <w:spacing w:after="200" w:line="360"/>
        <w:jc w:val="both"/>
      </w:pPr>
      <w:r>
        <w:t xml:space="preserve">Several limitations of the present work deserve explicit acknowledgement. First, evaluation is restricted to able-bodied volunteers; clinical generalisation to amputee subjects, which would require institutional ethics review and dedicated clinical infrastructure, lies outside the scope of an undergraduate thesis. Second, the system operates on two EMG channels, which fundamentally limits the information bandwidth available for control and necessitates the mode-switching approach described in Chapter 3. Third, the analog front-end is battery-powered and single-supply; clinical-grade differential preamplifiers would offer superior common-mode rejection and lower noise.</w:t>
      </w:r>
    </w:p>
    <w:p>
      <w:pPr>
        <w:pStyle w:val="Heading2"/>
        <w:spacing w:after="240" w:before="360"/>
      </w:pPr>
      <w:r>
        <w:t xml:space="preserve">6.3 Future Work</w:t>
      </w:r>
    </w:p>
    <w:p>
      <w:pPr>
        <w:spacing w:after="200" w:line="360"/>
        <w:jc w:val="both"/>
      </w:pPr>
      <w:r>
        <w:t xml:space="preserve">Several directions for future work follow naturally from this thesis:</w:t>
      </w:r>
    </w:p>
    <w:p>
      <w:pPr>
        <w:pStyle w:val="ListParagraph"/>
        <w:numPr>
          <w:ilvl w:val="0"/>
          <w:numId w:val="2"/>
        </w:numPr>
        <w:spacing w:after="100" w:line="320"/>
      </w:pPr>
      <w:r>
        <w:t xml:space="preserve">Higher channel counts: scaling the front-end to four or eight channels and revisiting simultaneous proportional control.</w:t>
      </w:r>
    </w:p>
    <w:p>
      <w:pPr>
        <w:pStyle w:val="ListParagraph"/>
        <w:numPr>
          <w:ilvl w:val="0"/>
          <w:numId w:val="2"/>
        </w:numPr>
        <w:spacing w:after="100" w:line="320"/>
      </w:pPr>
      <w:r>
        <w:t xml:space="preserve">Domain adaptation: few-shot per-user calibration to mitigate cross-session and cross-user drift.</w:t>
      </w:r>
    </w:p>
    <w:p>
      <w:pPr>
        <w:pStyle w:val="ListParagraph"/>
        <w:numPr>
          <w:ilvl w:val="0"/>
          <w:numId w:val="2"/>
        </w:numPr>
        <w:spacing w:after="100" w:line="320"/>
      </w:pPr>
      <w:r>
        <w:t xml:space="preserve">Adaptive online learning: classifier updates from user-provided feedback during operation.</w:t>
      </w:r>
    </w:p>
    <w:p>
      <w:pPr>
        <w:pStyle w:val="ListParagraph"/>
        <w:numPr>
          <w:ilvl w:val="0"/>
          <w:numId w:val="2"/>
        </w:numPr>
        <w:spacing w:after="100" w:line="320"/>
      </w:pPr>
      <w:r>
        <w:t xml:space="preserve">Hybrid EEG–EMG control: leveraging EEG signals for higher-level mode switching while retaining EMG for proportional control.</w:t>
      </w:r>
    </w:p>
    <w:p>
      <w:pPr>
        <w:pStyle w:val="ListParagraph"/>
        <w:numPr>
          <w:ilvl w:val="0"/>
          <w:numId w:val="2"/>
        </w:numPr>
        <w:spacing w:after="100" w:line="320"/>
      </w:pPr>
      <w:r>
        <w:t xml:space="preserve">Clinical validation: collaboration with rehabilitation clinics for evaluation on actual amputee subjects.</w:t>
      </w:r>
    </w:p>
    <w:p>
      <w:pPr>
        <w:pStyle w:val="Heading2"/>
        <w:spacing w:after="240" w:before="360"/>
      </w:pPr>
      <w:r>
        <w:t xml:space="preserve">6.4 Closing Remarks</w:t>
      </w:r>
    </w:p>
    <w:p>
      <w:pPr>
        <w:spacing w:after="200" w:line="360"/>
        <w:jc w:val="both"/>
      </w:pPr>
      <w:r>
        <w:t xml:space="preserve">Robust, low-cost myoelectric control is an essential prerequisite for equitable access to prosthetic technology in low- and middle-income countries. This work contributes one small step in that direction: a complete, open-source, reproducible reference system that other students and researchers in similar settings can pick up, extend, and adapt to their own constraints.</w:t>
      </w:r>
    </w:p>
    <w:p>
      <w:r>
        <w:br w:type="page"/>
      </w:r>
    </w:p>
    <w:p>
      <w:pPr>
        <w:pStyle w:val="Heading1"/>
        <w:spacing w:after="240" w:before="360"/>
      </w:pPr>
      <w:r>
        <w:t xml:space="preserve">References</w:t>
      </w:r>
    </w:p>
    <w:p>
      <w:pPr>
        <w:spacing w:after="200" w:line="360"/>
        <w:jc w:val="both"/>
      </w:pPr>
      <w:r>
        <w:t xml:space="preserve">References are cited in the text in IEEE numerical style, e.g., [1]. Replace the placeholder entries below with the works you actually consult during the literature review.</w:t>
      </w:r>
    </w:p>
    <w:p>
      <w:pPr>
        <w:spacing w:after="200"/>
      </w:pPr>
      <w:r>
        <w:t xml:space="preserve"/>
      </w:r>
    </w:p>
    <w:p>
      <w:pPr>
        <w:spacing w:after="160" w:line="300"/>
        <w:ind w:left="720" w:hanging="720"/>
        <w:jc w:val="both"/>
      </w:pPr>
      <w:r>
        <w:rPr>
          <w:b/>
          <w:bCs/>
        </w:rPr>
        <w:t xml:space="preserve">[1] </w:t>
      </w:r>
      <w:r>
        <w:t xml:space="preserve">C. J. De Luca, "The use of surface electromyography in biomechanics," Journal of Applied Biomechanics, vol. 13, no. 2, pp. 135–163, 1997.</w:t>
      </w:r>
    </w:p>
    <w:p>
      <w:pPr>
        <w:spacing w:after="160" w:line="300"/>
        <w:ind w:left="720" w:hanging="720"/>
        <w:jc w:val="both"/>
      </w:pPr>
      <w:r>
        <w:rPr>
          <w:b/>
          <w:bCs/>
        </w:rPr>
        <w:t xml:space="preserve">[2] </w:t>
      </w:r>
      <w:r>
        <w:t xml:space="preserve">M. A. Oskoei and H. Hu, "Myoelectric control systems—A survey," Biomedical Signal Processing and Control, vol. 2, no. 4, pp. 275–294, 2007.</w:t>
      </w:r>
    </w:p>
    <w:p>
      <w:pPr>
        <w:spacing w:after="160" w:line="300"/>
        <w:ind w:left="720" w:hanging="720"/>
        <w:jc w:val="both"/>
      </w:pPr>
      <w:r>
        <w:rPr>
          <w:b/>
          <w:bCs/>
        </w:rPr>
        <w:t xml:space="preserve">[3] </w:t>
      </w:r>
      <w:r>
        <w:t xml:space="preserve">B. Hudgins, P. Parker, and R. N. Scott, "A new strategy for multifunction myoelectric control," IEEE Transactions on Biomedical Engineering, vol. 40, no. 1, pp. 82–94, Jan. 1993.</w:t>
      </w:r>
    </w:p>
    <w:p>
      <w:pPr>
        <w:spacing w:after="160" w:line="300"/>
        <w:ind w:left="720" w:hanging="720"/>
        <w:jc w:val="both"/>
      </w:pPr>
      <w:r>
        <w:rPr>
          <w:b/>
          <w:bCs/>
        </w:rPr>
        <w:t xml:space="preserve">[4] </w:t>
      </w:r>
      <w:r>
        <w:t xml:space="preserve">K. Englehart and B. Hudgins, "A robust, real-time control scheme for multifunction myoelectric control," IEEE Transactions on Biomedical Engineering, vol. 50, no. 7, pp. 848–854, Jul. 2003.</w:t>
      </w:r>
    </w:p>
    <w:p>
      <w:pPr>
        <w:spacing w:after="160" w:line="300"/>
        <w:ind w:left="720" w:hanging="720"/>
        <w:jc w:val="both"/>
      </w:pPr>
      <w:r>
        <w:rPr>
          <w:b/>
          <w:bCs/>
        </w:rPr>
        <w:t xml:space="preserve">[5] </w:t>
      </w:r>
      <w:r>
        <w:t xml:space="preserve">M. Atzori et al., "Electromyography data for non-invasive naturally-controlled robotic hand prostheses," Scientific Data, vol. 1, art. 140053, 2014.</w:t>
      </w:r>
    </w:p>
    <w:p>
      <w:pPr>
        <w:spacing w:after="160" w:line="300"/>
        <w:ind w:left="720" w:hanging="720"/>
        <w:jc w:val="both"/>
      </w:pPr>
      <w:r>
        <w:rPr>
          <w:b/>
          <w:bCs/>
        </w:rPr>
        <w:t xml:space="preserve">[6] </w:t>
      </w:r>
      <w:r>
        <w:t xml:space="preserve">M. Atzori, M. Cognolato, and H. Müller, "Deep learning with convolutional neural networks applied to electromyography data: A resource for the classification of movements for prosthetic hands," Frontiers in Neurorobotics, vol. 10, art. 9, 2016.</w:t>
      </w:r>
    </w:p>
    <w:p>
      <w:pPr>
        <w:spacing w:after="160" w:line="300"/>
        <w:ind w:left="720" w:hanging="720"/>
        <w:jc w:val="both"/>
      </w:pPr>
      <w:r>
        <w:rPr>
          <w:b/>
          <w:bCs/>
        </w:rPr>
        <w:t xml:space="preserve">[7] </w:t>
      </w:r>
      <w:r>
        <w:t xml:space="preserve">A. Phinyomark, P. Phukpattaranont, and C. Limsakul, "Feature reduction and selection for EMG signal classification," Expert Systems with Applications, vol. 39, no. 8, pp. 7420–7431, 2012.</w:t>
      </w:r>
    </w:p>
    <w:p>
      <w:pPr>
        <w:spacing w:after="160" w:line="300"/>
        <w:ind w:left="720" w:hanging="720"/>
        <w:jc w:val="both"/>
      </w:pPr>
      <w:r>
        <w:rPr>
          <w:b/>
          <w:bCs/>
        </w:rPr>
        <w:t xml:space="preserve">[8] </w:t>
      </w:r>
      <w:r>
        <w:t xml:space="preserve">X. Chen et al., "Deep learning for EMG-based hand gesture recognition: A review," IEEE Access, vol. 8, pp. 225–241, 2020.</w:t>
      </w:r>
    </w:p>
    <w:p>
      <w:pPr>
        <w:spacing w:after="160" w:line="300"/>
        <w:ind w:left="720" w:hanging="720"/>
        <w:jc w:val="both"/>
      </w:pPr>
      <w:r>
        <w:rPr>
          <w:b/>
          <w:bCs/>
        </w:rPr>
        <w:t xml:space="preserve">[9] </w:t>
      </w:r>
      <w:r>
        <w:t xml:space="preserve">Y. Geng, P. Zhou, and G. Li, "Toward attenuating the impact of arm positions on electromyography pattern-recognition based motion classification in transradial amputees," Journal of NeuroEngineering and Rehabilitation, vol. 9, art. 74, 2012.</w:t>
      </w:r>
    </w:p>
    <w:p>
      <w:pPr>
        <w:spacing w:after="160" w:line="300"/>
        <w:ind w:left="720" w:hanging="720"/>
        <w:jc w:val="both"/>
      </w:pPr>
      <w:r>
        <w:rPr>
          <w:b/>
          <w:bCs/>
        </w:rPr>
        <w:t xml:space="preserve">[10] </w:t>
      </w:r>
      <w:r>
        <w:t xml:space="preserve">U. Côté-Allard et al., "Deep learning for electromyographic hand gesture signal classification using transfer learning," IEEE Transactions on Neural Systems and Rehabilitation Engineering, vol. 27, no. 4, pp. 760–771, Apr. 2019.</w:t>
      </w:r>
    </w:p>
    <w:p>
      <w:pPr>
        <w:spacing w:after="160" w:line="300"/>
        <w:ind w:left="720" w:hanging="720"/>
        <w:jc w:val="both"/>
      </w:pPr>
      <w:r>
        <w:rPr>
          <w:b/>
          <w:bCs/>
        </w:rPr>
        <w:t xml:space="preserve">[11] </w:t>
      </w:r>
      <w:r>
        <w:t xml:space="preserve">Advancer Technologies, "MyoWare Muscle Sensor 2.0," product documentation, 2022.</w:t>
      </w:r>
    </w:p>
    <w:p>
      <w:pPr>
        <w:spacing w:after="160" w:line="300"/>
        <w:ind w:left="720" w:hanging="720"/>
        <w:jc w:val="both"/>
      </w:pPr>
      <w:r>
        <w:rPr>
          <w:b/>
          <w:bCs/>
        </w:rPr>
        <w:t xml:space="preserve">[12] </w:t>
      </w:r>
      <w:r>
        <w:t xml:space="preserve">OpenBCI, "Cyton biosensing board," product documentation, 2024.</w:t>
      </w:r>
    </w:p>
    <w:p>
      <w:pPr>
        <w:spacing w:after="160" w:line="300"/>
        <w:ind w:left="720" w:hanging="720"/>
        <w:jc w:val="both"/>
      </w:pPr>
      <w:r>
        <w:rPr>
          <w:b/>
          <w:bCs/>
        </w:rPr>
        <w:t xml:space="preserve">[13] </w:t>
      </w:r>
      <w:r>
        <w:t xml:space="preserve">PLUX Biosignals, "BITalino (r)evolution," product documentation, 2024.</w:t>
      </w:r>
    </w:p>
    <w:p>
      <w:pPr>
        <w:spacing w:before="400"/>
      </w:pPr>
      <w:r>
        <w:rPr>
          <w:i/>
          <w:iCs/>
          <w:color w:val="C00000"/>
        </w:rPr>
        <w:t xml:space="preserve">[TODO: Add 10–15 more references during the literature review phase. Aim for at least 25 references total for an undergraduate thesis.]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Intelligent sEMG-Based Human-Machine Interface for Multi-DoF Robotic Arm Control</dc:title>
  <dc:creator>Muhtasim Al Ahsan</dc:creator>
  <cp:lastModifiedBy>Un-named</cp:lastModifiedBy>
  <cp:revision>1</cp:revision>
  <dcterms:created xsi:type="dcterms:W3CDTF">2026-05-15T19:02:29.722Z</dcterms:created>
  <dcterms:modified xsi:type="dcterms:W3CDTF">2026-05-15T19:02:29.723Z</dcterms:modified>
</cp:coreProperties>
</file>

<file path=docProps/custom.xml><?xml version="1.0" encoding="utf-8"?>
<Properties xmlns="http://schemas.openxmlformats.org/officeDocument/2006/custom-properties" xmlns:vt="http://schemas.openxmlformats.org/officeDocument/2006/docPropsVTypes"/>
</file>