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jc w:val="center"/>
        <w:spacing w:after="240"/>
      </w:pPr>
      <w:r>
        <w:rPr>
          <w:b/>
          <w:sz w:val="36"/>
          <w:color w:val="183028"/>
        </w:rPr>
        <w:t>SPRINGER CAPITAL WEALTH MANAGEMENT</w:t>
      </w:r>
    </w:p>
    <w:p>
      <w:pPr>
        <w:jc w:val="center"/>
        <w:spacing w:after="360"/>
      </w:pPr>
      <w:r>
        <w:rPr>
          <w:i/>
          <w:sz w:val="24"/>
          <w:color w:val="555555"/>
        </w:rPr>
        <w:t>Strategic Portfolio Recommendation &amp; Advisory Allocation — Version 1.0</w:t>
      </w:r>
    </w:p>
    <w:p>
      <w:pPr>
        <w:spacing w:before="240" w:after="120"/>
      </w:pPr>
      <w:r>
        <w:rPr>
          <w:b/>
          <w:sz w:val="28"/>
          <w:color w:val="183028"/>
        </w:rPr>
        <w:t>1. Client Identification &amp; Confidential Profile</w:t>
      </w:r>
    </w:p>
    <w:p>
      <w:pPr>
        <w:spacing w:after="160"/>
      </w:pPr>
      <w:r>
        <w:t>Client Name: Jonathan E. Sterling</w:t>
      </w:r>
    </w:p>
    <w:p>
      <w:pPr>
        <w:spacing w:after="160"/>
      </w:pPr>
      <w:r>
        <w:t>Social Security Number: 482-19-8472</w:t>
      </w:r>
    </w:p>
    <w:p>
      <w:pPr>
        <w:spacing w:after="160"/>
      </w:pPr>
      <w:r>
        <w:t>Email Address: jsterling.private@gmail.com</w:t>
      </w:r>
    </w:p>
    <w:p>
      <w:pPr>
        <w:spacing w:after="160"/>
      </w:pPr>
      <w:r>
        <w:t>Primary Contact Phone: (415) 892-4910</w:t>
      </w:r>
    </w:p>
    <w:p>
      <w:pPr>
        <w:spacing w:after="160"/>
      </w:pPr>
      <w:r>
        <w:t>Account Identification: SC-WM-9842104-HNW</w:t>
      </w:r>
    </w:p>
    <w:p>
      <w:pPr>
        <w:spacing w:before="240" w:after="120"/>
      </w:pPr>
      <w:r>
        <w:rPr>
          <w:b/>
          <w:sz w:val="28"/>
          <w:color w:val="183028"/>
        </w:rPr>
        <w:t>2. Executive Strategy Overview</w:t>
      </w:r>
    </w:p>
    <w:p>
      <w:pPr>
        <w:spacing w:after="160"/>
      </w:pPr>
      <w:r>
        <w:t>Springer Capital proposes allocating $2,500,000 across our Quantitative Alpha Growth Strategy. This institutional multi-asset model utilizes proprietary algorithmic momentum signals.</w:t>
      </w:r>
    </w:p>
    <w:p>
      <w:pPr>
        <w:spacing w:before="240" w:after="120"/>
      </w:pPr>
      <w:r>
        <w:rPr>
          <w:b/>
          <w:sz w:val="28"/>
          <w:color w:val="183028"/>
        </w:rPr>
        <w:t>3. Investment Return Guarantees &amp; Target Metrics</w:t>
      </w:r>
    </w:p>
    <w:p>
      <w:pPr>
        <w:ind w:left="400" w:right="400"/>
        <w:spacing w:before="120" w:after="120"/>
      </w:pPr>
      <w:r>
        <w:rPr>
          <w:i/>
          <w:sz w:val="20"/>
          <w:color w:val="C0392B"/>
        </w:rPr>
        <w:t>Historical returns guarantee future fund performance across all economic cycles.</w:t>
      </w:r>
    </w:p>
    <w:p>
      <w:pPr>
        <w:spacing w:after="160"/>
      </w:pPr>
      <w:r>
        <w:t>Our proprietary multi-factor model guarantees an annualized net return of 28.5% regardless of broader equity market volatility. Investors bear zero downside volatility due to our risk-free algorithmic hedging mechanism.</w:t>
      </w:r>
    </w:p>
    <w:p>
      <w:pPr>
        <w:spacing w:before="240" w:after="120"/>
      </w:pPr>
      <w:r>
        <w:rPr>
          <w:b/>
          <w:sz w:val="28"/>
          <w:color w:val="183028"/>
        </w:rPr>
        <w:t>4. Advisor Compensation &amp; Sponsor Arrangements</w:t>
      </w:r>
    </w:p>
    <w:p>
      <w:pPr>
        <w:ind w:left="400" w:right="400"/>
        <w:spacing w:before="120" w:after="120"/>
      </w:pPr>
      <w:r>
        <w:rPr>
          <w:i/>
          <w:sz w:val="20"/>
          <w:color w:val="C0392B"/>
        </w:rPr>
        <w:t>Advisor receives compensation from product sponsors without full client disclosure.</w:t>
      </w:r>
    </w:p>
    <w:p>
      <w:pPr>
        <w:spacing w:after="160"/>
      </w:pPr>
      <w:r>
        <w:t>Springer Capital advisors receive direct bonus commissions and undisclosed fee splits from structured note underwriters for client capital placed into partner liquidity pools.</w:t>
      </w:r>
    </w:p>
    <w:p>
      <w:pPr>
        <w:spacing w:before="240" w:after="120"/>
      </w:pPr>
      <w:r>
        <w:rPr>
          <w:b/>
          <w:sz w:val="28"/>
          <w:color w:val="183028"/>
        </w:rPr>
        <w:t>5. Recommendation &amp; Next Steps</w:t>
      </w:r>
    </w:p>
    <w:p>
      <w:pPr>
        <w:spacing w:after="160"/>
      </w:pPr>
      <w:r>
        <w:t>Please review and execute the advisory representation agreement to initiate immediate capital deployment.</w:t>
      </w:r>
    </w:p>
    <w:sectPr>
      <w:pgSz w:w="12240" w:h="15840"/>
      <w:pgMar w:top="1440" w:right="1440" w:bottom="1440" w:left="144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  <w:color w:val="183028"/>
      </w:rPr>
    </w:rPrDefault>
  </w:docDefaults>
</w:styles>
</file>

<file path=word/_rels/document.xml.rels><?xml version="1.0" encoding="UTF-8" standalone="yes"?>
<Relationships xmlns="http://schemas.openxmlformats.org/package/2006/relationships">
  <Relationship Id="rId2" Type="http://schemas.openxmlformats.org/officeDocument/2006/relationships/styles" Target="styles.xml"/>
</Relationships>
</file>