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color w:val="183028"/>
        </w:rPr>
        <w:t>SPRINGER CAPITAL WEALTH MANAGEMENT</w:t>
      </w:r>
    </w:p>
    <w:p>
      <w:pPr>
        <w:jc w:val="center"/>
        <w:spacing w:after="360"/>
      </w:pPr>
      <w:r>
        <w:rPr>
          <w:i/>
          <w:sz w:val="24"/>
          <w:color w:val="555555"/>
        </w:rPr>
        <w:t>Strategic Portfolio Recommendation &amp; Advisory Allocation — Version 2.0 (Compliant)</w:t>
      </w:r>
    </w:p>
    <w:p>
      <w:pPr>
        <w:spacing w:before="240" w:after="120"/>
      </w:pPr>
      <w:r>
        <w:rPr>
          <w:b/>
          <w:sz w:val="28"/>
          <w:color w:val="183028"/>
        </w:rPr>
        <w:t>1. Client Account Profile</w:t>
      </w:r>
    </w:p>
    <w:p>
      <w:pPr>
        <w:spacing w:after="160"/>
      </w:pPr>
      <w:r>
        <w:t>Account Reference: SC-WM-9842104-HNW</w:t>
      </w:r>
    </w:p>
    <w:p>
      <w:pPr>
        <w:spacing w:after="160"/>
      </w:pPr>
      <w:r>
        <w:t>Client Profile: Institutional High-Net-Worth Individual</w:t>
      </w:r>
    </w:p>
    <w:p>
      <w:pPr>
        <w:spacing w:after="160"/>
      </w:pPr>
      <w:r>
        <w:t>Risk Tolerance: Moderately Aggressive</w:t>
      </w:r>
    </w:p>
    <w:p>
      <w:pPr>
        <w:spacing w:before="240" w:after="120"/>
      </w:pPr>
      <w:r>
        <w:rPr>
          <w:b/>
          <w:sz w:val="28"/>
          <w:color w:val="183028"/>
        </w:rPr>
        <w:t>2. Executive Strategy Overview</w:t>
      </w:r>
    </w:p>
    <w:p>
      <w:pPr>
        <w:spacing w:after="160"/>
      </w:pPr>
      <w:r>
        <w:t>Springer Capital proposes allocating $2,500,000 across our Quantitative Alpha Growth Strategy. This institutional multi-asset portfolio utilizes systematic factor rebalancing and risk-budgeting principles.</w:t>
      </w:r>
    </w:p>
    <w:p>
      <w:pPr>
        <w:spacing w:before="240" w:after="120"/>
      </w:pPr>
      <w:r>
        <w:rPr>
          <w:b/>
          <w:sz w:val="28"/>
          <w:color w:val="183028"/>
        </w:rPr>
        <w:t>3. Performance Projections &amp; Regulatory Risk Disclosures</w:t>
      </w:r>
    </w:p>
    <w:p>
      <w:pPr>
        <w:ind w:left="400" w:right="400"/>
        <w:spacing w:before="120" w:after="120"/>
      </w:pPr>
      <w:r>
        <w:rPr>
          <w:i/>
          <w:sz w:val="20"/>
          <w:color w:val="C0392B"/>
        </w:rPr>
        <w:t>Past performance is no guarantee of future results. All investments involve substantial risk, including possible loss of principal.</w:t>
      </w:r>
    </w:p>
    <w:p>
      <w:pPr>
        <w:spacing w:after="160"/>
      </w:pPr>
      <w:r>
        <w:t>Target annualized return benchmarks are modeled at 8.5% to 12.0% under normal market conditions. Returns are not guaranteed and actual portfolio values will fluctuate based on prevailing macroeconomic and market conditions.</w:t>
      </w:r>
    </w:p>
    <w:p>
      <w:pPr>
        <w:spacing w:before="240" w:after="120"/>
      </w:pPr>
      <w:r>
        <w:rPr>
          <w:b/>
          <w:sz w:val="28"/>
          <w:color w:val="183028"/>
        </w:rPr>
        <w:t>4. Fiduciary Disclosure &amp; Fee Transparency</w:t>
      </w:r>
    </w:p>
    <w:p>
      <w:pPr>
        <w:spacing w:after="160"/>
      </w:pPr>
      <w:r>
        <w:t>Springer Capital acts in a fiduciary capacity under Section 206 of the Investment Advisers Act of 1940. We do not accept soft-dollar payments, undisclosed commissions, or third-party sponsor compensation.</w:t>
      </w:r>
    </w:p>
    <w:p>
      <w:pPr>
        <w:spacing w:after="160"/>
      </w:pPr>
      <w:r>
        <w:t>Advisory Fee Schedule: 0.65% annualized on assets under management, billed quarterly in arrears. No additional hidden placement fees.</w:t>
      </w:r>
    </w:p>
    <w:p>
      <w:pPr>
        <w:spacing w:before="240" w:after="120"/>
      </w:pPr>
      <w:r>
        <w:rPr>
          <w:b/>
          <w:sz w:val="28"/>
          <w:color w:val="183028"/>
        </w:rPr>
        <w:t>5. Compliance &amp; Supervision</w:t>
      </w:r>
    </w:p>
    <w:p>
      <w:pPr>
        <w:spacing w:after="160"/>
      </w:pPr>
      <w:r>
        <w:t>Document reviewed and submitted in compliance with FINRA Rule 2210 communications standards and SEC Regulation Best Interest (Reg BI).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83028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