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01 Reflection — Establishing the team and my role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I worked with Rijan to understand the client brief and agree how to divide our work. My starting point was the interface: navigation, visual consistency and how learners would move through the safety material. I also reviewed my existing design and frontend skills.</w:t>
      </w:r>
    </w:p>
    <w:p>
      <w:pPr>
        <w:pStyle w:val="Heading1"/>
      </w:pPr>
      <w:r>
        <w:t>What went well</w:t>
      </w:r>
    </w:p>
    <w:p>
      <w:r>
        <w:t>We had a reasonably clear split between user-facing design and system integration, which gave me ownership of the screens.</w:t>
      </w:r>
    </w:p>
    <w:p>
      <w:pPr>
        <w:pStyle w:val="Heading1"/>
      </w:pPr>
      <w:r>
        <w:t>Challenges and improvements</w:t>
      </w:r>
    </w:p>
    <w:p>
      <w:r>
        <w:t>I initially thought about the product mainly as layouts. I should have asked earlier how each learner action would connect to a stored result.</w:t>
      </w:r>
    </w:p>
    <w:p>
      <w:pPr>
        <w:pStyle w:val="Heading1"/>
      </w:pPr>
      <w:r>
        <w:t>What I learned and how I would improve</w:t>
      </w:r>
    </w:p>
    <w:p>
      <w:r>
        <w:t>A two-person team benefits from clear responsibility, but decisions that cross the frontend/backend boundary need joint review.</w:t>
      </w:r>
    </w:p>
    <w:p>
      <w:pPr>
        <w:pStyle w:val="Heading1"/>
      </w:pPr>
      <w:r>
        <w:t>Supporting evidence</w:t>
      </w:r>
    </w:p>
    <w:p>
      <w:r>
        <w:t>Skills audit; individual project plan; Week 1 group meeting minutes.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