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03 Reflection — Client needs and accessibility</w:t>
      </w:r>
    </w:p>
    <w:p>
      <w:pPr>
        <w:pStyle w:val="Subtitle"/>
      </w:pPr>
      <w:r>
        <w:t>Retrospective reflection reconstructed from surviving project records; please verify personally.</w:t>
      </w:r>
    </w:p>
    <w:p>
      <w:pPr>
        <w:pStyle w:val="Heading1"/>
      </w:pPr>
      <w:r>
        <w:t>Work and contribution</w:t>
      </w:r>
    </w:p>
    <w:p>
      <w:r>
        <w:t>During the Week 3 period, we discussed interface details and the client consultation. One important issue was the accessibility of a drag-and-drop sequencing task. A button-operated alternative was considered so keyboard users would not be excluded.</w:t>
      </w:r>
    </w:p>
    <w:p>
      <w:pPr>
        <w:pStyle w:val="Heading1"/>
      </w:pPr>
      <w:r>
        <w:t>What went well</w:t>
      </w:r>
    </w:p>
    <w:p>
      <w:r>
        <w:t>The conversation helped connect interface decisions to actual user needs rather than personal preference.</w:t>
      </w:r>
    </w:p>
    <w:p>
      <w:pPr>
        <w:pStyle w:val="Heading1"/>
      </w:pPr>
      <w:r>
        <w:t>Challenges and improvements</w:t>
      </w:r>
    </w:p>
    <w:p>
      <w:r>
        <w:t>An interaction can look intuitive with a mouse but remain difficult or impossible without it.</w:t>
      </w:r>
    </w:p>
    <w:p>
      <w:pPr>
        <w:pStyle w:val="Heading1"/>
      </w:pPr>
      <w:r>
        <w:t>What I learned and how I would improve</w:t>
      </w:r>
    </w:p>
    <w:p>
      <w:r>
        <w:t>I would check keyboard use at the wireframe stage and record acceptance criteria for it.</w:t>
      </w:r>
    </w:p>
    <w:p>
      <w:pPr>
        <w:pStyle w:val="Heading1"/>
      </w:pPr>
      <w:r>
        <w:t>Supporting evidence</w:t>
      </w:r>
    </w:p>
    <w:p>
      <w:r>
        <w:t>Week 3 minutes; Week 3 client consultation minutes; requirements records.</w:t>
      </w:r>
    </w:p>
    <w:p>
      <w:pPr>
        <w:pStyle w:val="Heading1"/>
      </w:pPr>
      <w:r>
        <w:t>Personal verification</w:t>
      </w:r>
    </w:p>
    <w:p>
      <w:r>
        <w:t>[SUSHANK: Confirm this week reflects what you actually did; correct dates/actions and add a dated screenshot or other first-hand evidence.]</w:t>
      </w:r>
    </w:p>
    <w:sectPr w:rsidR="00FC693F" w:rsidRPr="0006063C" w:rsidSect="00034616">
      <w:footerReference w:type="default" r:id="rId9"/>
      <w:pgSz w:w="12240" w:h="15840"/>
      <w:pgMar w:top="1152" w:right="1800" w:bottom="1080" w:left="1800" w:header="432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CET257 • Sushank Jung Rawal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95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395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395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