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11 Reflection — Checking usability and quality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The planned focus involved responsive/accessibility checks, feedback wording and evidence gathering. The final repository contains relevant application components and tests, but author-attributed Week 11 evidence was not included in the extracted archive.</w:t>
      </w:r>
    </w:p>
    <w:p>
      <w:pPr>
        <w:pStyle w:val="Heading1"/>
      </w:pPr>
      <w:r>
        <w:t>What went well</w:t>
      </w:r>
    </w:p>
    <w:p>
      <w:r>
        <w:t>Having testing materials in the project is useful because it provides a basis for checking visible behaviour.</w:t>
      </w:r>
    </w:p>
    <w:p>
      <w:pPr>
        <w:pStyle w:val="Heading1"/>
      </w:pPr>
      <w:r>
        <w:t>Challenges and improvements</w:t>
      </w:r>
    </w:p>
    <w:p>
      <w:r>
        <w:t>A test existing in the codebase does not establish that I personally wrote or ran it in Week 11.</w:t>
      </w:r>
    </w:p>
    <w:p>
      <w:pPr>
        <w:pStyle w:val="Heading1"/>
      </w:pPr>
      <w:r>
        <w:t>What I learned and how I would improve</w:t>
      </w:r>
    </w:p>
    <w:p>
      <w:r>
        <w:t>I would maintain a personal issue log containing device, expected behaviour, defect, fix and retest evidence.</w:t>
      </w:r>
    </w:p>
    <w:p>
      <w:pPr>
        <w:pStyle w:val="Heading1"/>
      </w:pPr>
      <w:r>
        <w:t>Supporting evidence</w:t>
      </w:r>
    </w:p>
    <w:p>
      <w:r>
        <w:t>Testing/evaluation plan; final source and tests. Week-specific activity requires confirmation.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