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2E5090"/>
          <w:sz w:val="40"/>
          <w:szCs w:val="40"/>
        </w:rPr>
        <w:t xml:space="preserve">Lab 5 — Investigation Write-Up</w:t>
      </w:r>
    </w:p>
    <w:p>
      <w:pPr>
        <w:pBdr>
          <w:bottom w:val="single" w:color="2E5090" w:sz="6" w:space="8"/>
        </w:pBdr>
        <w:spacing w:after="80"/>
      </w:pPr>
      <w:r>
        <w:rPr>
          <w:i/>
          <w:iCs/>
          <w:color w:val="555555"/>
          <w:sz w:val="24"/>
          <w:szCs w:val="24"/>
        </w:rPr>
        <w:t xml:space="preserve">Custom Log-Based Intrusion Detection Script</w:t>
      </w:r>
    </w:p>
    <w:p>
      <w:pPr>
        <w:pStyle w:val="Heading1"/>
        <w:spacing w:after="160" w:before="320"/>
      </w:pPr>
      <w:r>
        <w:t xml:space="preserve">Incident Summary</w:t>
      </w:r>
    </w:p>
    <w:tbl>
      <w:tblPr>
        <w:tblW w:type="pct" w:w="100%"/>
        <w:tblBorders>
          <w:top w:val="none"/>
          <w:left w:val="none"/>
          <w:bottom w:val="none"/>
          <w:right w:val="none"/>
          <w:insideH w:val="none"/>
          <w:insideV w:val="none"/>
        </w:tblBorders>
      </w:tblPr>
      <w:tblGrid>
        <w:gridCol w:w="2600"/>
        <w:gridCol w:w="7360"/>
      </w:tblGrid>
      <w:tr>
        <w:tc>
          <w:tcPr>
            <w:tcW w:type="dxa" w:w="2600"/>
          </w:tcPr>
          <w:p>
            <w:r>
              <w:rPr>
                <w:b/>
                <w:bCs/>
              </w:rPr>
              <w:t xml:space="preserve">Date/Time:</w:t>
            </w:r>
          </w:p>
        </w:tc>
        <w:tc>
          <w:tcPr>
            <w:tcW w:type="dxa" w:w="7360"/>
          </w:tcPr>
          <w:p>
            <w:pPr>
              <w:pBdr>
                <w:bottom w:val="single" w:color="AAAAAA" w:sz="4"/>
              </w:pBdr>
            </w:pPr>
            <w:r>
              <w:rPr>
                <w:i/>
                <w:iCs/>
                <w:color w:val="888888"/>
              </w:rPr>
              <w:t xml:space="preserve">fill in from your first [ALERT SENT] line</w:t>
            </w:r>
          </w:p>
        </w:tc>
      </w:tr>
    </w:tbl>
    <w:tbl>
      <w:tblPr>
        <w:tblW w:type="pct" w:w="100%"/>
        <w:tblBorders>
          <w:top w:val="none"/>
          <w:left w:val="none"/>
          <w:bottom w:val="none"/>
          <w:right w:val="none"/>
          <w:insideH w:val="none"/>
          <w:insideV w:val="none"/>
        </w:tblBorders>
      </w:tblPr>
      <w:tblGrid>
        <w:gridCol w:w="2600"/>
        <w:gridCol w:w="7360"/>
      </w:tblGrid>
      <w:tr>
        <w:tc>
          <w:tcPr>
            <w:tcW w:type="dxa" w:w="2600"/>
          </w:tcPr>
          <w:p>
            <w:r>
              <w:rPr>
                <w:b/>
                <w:bCs/>
              </w:rPr>
              <w:t xml:space="preserve">Source:</w:t>
            </w:r>
          </w:p>
        </w:tc>
        <w:tc>
          <w:tcPr>
            <w:tcW w:type="dxa" w:w="7360"/>
          </w:tcPr>
          <w:p>
            <w:pPr>
              <w:pBdr>
                <w:bottom w:val="single" w:color="AAAAAA" w:sz="4"/>
              </w:pBdr>
            </w:pPr>
            <w:r>
              <w:rPr>
                <w:i/>
                <w:iCs/>
                <w:color w:val="888888"/>
              </w:rPr>
              <w:t xml:space="preserve">192.168.56.101 (Kali — simulated attacker)</w:t>
            </w:r>
          </w:p>
        </w:tc>
      </w:tr>
    </w:tbl>
    <w:tbl>
      <w:tblPr>
        <w:tblW w:type="pct" w:w="100%"/>
        <w:tblBorders>
          <w:top w:val="none"/>
          <w:left w:val="none"/>
          <w:bottom w:val="none"/>
          <w:right w:val="none"/>
          <w:insideH w:val="none"/>
          <w:insideV w:val="none"/>
        </w:tblBorders>
      </w:tblPr>
      <w:tblGrid>
        <w:gridCol w:w="2600"/>
        <w:gridCol w:w="7360"/>
      </w:tblGrid>
      <w:tr>
        <w:tc>
          <w:tcPr>
            <w:tcW w:type="dxa" w:w="2600"/>
          </w:tcPr>
          <w:p>
            <w:r>
              <w:rPr>
                <w:b/>
                <w:bCs/>
              </w:rPr>
              <w:t xml:space="preserve">Target:</w:t>
            </w:r>
          </w:p>
        </w:tc>
        <w:tc>
          <w:tcPr>
            <w:tcW w:type="dxa" w:w="7360"/>
          </w:tcPr>
          <w:p>
            <w:pPr>
              <w:pBdr>
                <w:bottom w:val="single" w:color="AAAAAA" w:sz="4"/>
              </w:pBdr>
            </w:pPr>
            <w:r>
              <w:rPr>
                <w:i/>
                <w:iCs/>
                <w:color w:val="888888"/>
              </w:rPr>
              <w:t xml:space="preserve">192.168.56.103 (Metasploitable2)</w:t>
            </w:r>
          </w:p>
        </w:tc>
      </w:tr>
    </w:tbl>
    <w:tbl>
      <w:tblPr>
        <w:tblW w:type="pct" w:w="100%"/>
        <w:tblBorders>
          <w:top w:val="none"/>
          <w:left w:val="none"/>
          <w:bottom w:val="none"/>
          <w:right w:val="none"/>
          <w:insideH w:val="none"/>
          <w:insideV w:val="none"/>
        </w:tblBorders>
      </w:tblPr>
      <w:tblGrid>
        <w:gridCol w:w="2600"/>
        <w:gridCol w:w="7360"/>
      </w:tblGrid>
      <w:tr>
        <w:tc>
          <w:tcPr>
            <w:tcW w:type="dxa" w:w="2600"/>
          </w:tcPr>
          <w:p>
            <w:r>
              <w:rPr>
                <w:b/>
                <w:bCs/>
              </w:rPr>
              <w:t xml:space="preserve">Detector:</w:t>
            </w:r>
          </w:p>
        </w:tc>
        <w:tc>
          <w:tcPr>
            <w:tcW w:type="dxa" w:w="7360"/>
          </w:tcPr>
          <w:p>
            <w:pPr>
              <w:pBdr>
                <w:bottom w:val="single" w:color="AAAAAA" w:sz="4"/>
              </w:pBdr>
            </w:pPr>
            <w:r>
              <w:rPr>
                <w:i/>
                <w:iCs/>
                <w:color w:val="888888"/>
              </w:rPr>
              <w:t xml:space="preserve">Custom Python script polling Elasticsearch, sliding 60s window, threshold &gt;3, 180s cooldown</w:t>
            </w:r>
          </w:p>
        </w:tc>
      </w:tr>
    </w:tbl>
    <w:p>
      <w:pPr>
        <w:pStyle w:val="Heading1"/>
        <w:spacing w:after="160" w:before="320"/>
      </w:pPr>
      <w:r>
        <w:t xml:space="preserve">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980"/>
        <w:gridCol w:w="4980"/>
      </w:tblGrid>
      <w:tr>
        <w:trPr>
          <w:tblHeader/>
        </w:trPr>
        <w:tc>
          <w:tcPr>
            <w:tcW w:type="dxa" w:w="4980"/>
            <w:shd w:fill="2E5090" w:val="clear"/>
          </w:tcPr>
          <w:p>
            <w:r>
              <w:rPr>
                <w:b/>
                <w:bCs/>
                <w:color w:val="FFFFFF"/>
              </w:rPr>
              <w:t xml:space="preserve">Time</w:t>
            </w:r>
          </w:p>
        </w:tc>
        <w:tc>
          <w:tcPr>
            <w:tcW w:type="dxa" w:w="4980"/>
            <w:shd w:fill="2E5090" w:val="clear"/>
          </w:tcPr>
          <w:p>
            <w:r>
              <w:rPr>
                <w:b/>
                <w:bCs/>
                <w:color w:val="FFFFFF"/>
              </w:rPr>
              <w:t xml:space="preserve">Event</w:t>
            </w:r>
          </w:p>
        </w:tc>
      </w:tr>
      <w:tr>
        <w:tc>
          <w:tcPr>
            <w:tcW w:type="dxa" w:w="4980"/>
          </w:tcPr>
          <w:p>
            <w:r>
              <w:rPr>
                <w:i/>
                <w:iCs/>
                <w:color w:val="888888"/>
              </w:rPr>
              <w:t xml:space="preserve">[timestamp]</w:t>
            </w:r>
          </w:p>
        </w:tc>
        <w:tc>
          <w:tcPr>
            <w:tcW w:type="dxa" w:w="4980"/>
          </w:tcPr>
          <w:p>
            <w:r>
              <w:t xml:space="preserve">Detector script started</w:t>
            </w:r>
          </w:p>
        </w:tc>
      </w:tr>
      <w:tr>
        <w:tc>
          <w:tcPr>
            <w:tcW w:type="dxa" w:w="4980"/>
          </w:tcPr>
          <w:p>
            <w:r>
              <w:rPr>
                <w:i/>
                <w:iCs/>
                <w:color w:val="888888"/>
              </w:rPr>
              <w:t xml:space="preserve">[timestamp]</w:t>
            </w:r>
          </w:p>
        </w:tc>
        <w:tc>
          <w:tcPr>
            <w:tcW w:type="dxa" w:w="4980"/>
          </w:tcPr>
          <w:p>
            <w:r>
              <w:t xml:space="preserve">Hydra attack launched</w:t>
            </w:r>
          </w:p>
        </w:tc>
      </w:tr>
      <w:tr>
        <w:tc>
          <w:tcPr>
            <w:tcW w:type="dxa" w:w="4980"/>
          </w:tcPr>
          <w:p>
            <w:r>
              <w:rPr>
                <w:i/>
                <w:iCs/>
                <w:color w:val="888888"/>
              </w:rPr>
              <w:t xml:space="preserve">[timestamp]</w:t>
            </w:r>
          </w:p>
        </w:tc>
        <w:tc>
          <w:tcPr>
            <w:tcW w:type="dxa" w:w="4980"/>
          </w:tcPr>
          <w:p>
            <w:r>
              <w:t xml:space="preserve">Alert fired ([ALERT SENT])</w:t>
            </w:r>
          </w:p>
        </w:tc>
      </w:tr>
      <w:tr>
        <w:tc>
          <w:tcPr>
            <w:tcW w:type="dxa" w:w="4980"/>
          </w:tcPr>
          <w:p>
            <w:r>
              <w:rPr>
                <w:i/>
                <w:iCs/>
                <w:color w:val="888888"/>
              </w:rPr>
              <w:t xml:space="preserve">[timestamp]</w:t>
            </w:r>
          </w:p>
        </w:tc>
        <w:tc>
          <w:tcPr>
            <w:tcW w:type="dxa" w:w="4980"/>
          </w:tcPr>
          <w:p>
            <w:r>
              <w:t xml:space="preserve">Second attack correctly suppressed (cooldown)</w:t>
            </w:r>
          </w:p>
        </w:tc>
      </w:tr>
    </w:tbl>
    <w:p>
      <w:pPr>
        <w:spacing w:after="200"/>
      </w:pPr>
    </w:p>
    <w:p>
      <w:pPr>
        <w:pStyle w:val="Heading1"/>
        <w:spacing w:after="160" w:before="320"/>
      </w:pPr>
      <w:r>
        <w:t xml:space="preserve">Detection Logic</w:t>
      </w:r>
    </w:p>
    <w:p>
      <w:pPr>
        <w:spacing w:after="160"/>
      </w:pPr>
      <w:r>
        <w:t xml:space="preserve">A custom Python script polls Elasticsearch's ssh-auth-logs-* index every 10 seconds for new failed-login events, extracts the source IP via regex from the raw message field, and maintains an in-memory sliding 60-second window of failure timestamps per source IP. When any source IP exceeds 3 failures within that live window, a structured alert document is posted to a dedicated custom-ids-alerts-* index, subject to a 180-second cooldown per source IP to prevent alert flooding. The threshold was set below the wordlist's raw attempt count after confirming this legacy target's logging consolidates some repeated failures into summary lines rather than discrete, individually-matchable events.</w:t>
      </w:r>
    </w:p>
    <w:p>
      <w:pPr>
        <w:pStyle w:val="Heading1"/>
        <w:spacing w:after="160" w:before="320"/>
      </w:pPr>
      <w:r>
        <w:t xml:space="preserve">Design Decisions</w:t>
      </w:r>
    </w:p>
    <w:p>
      <w:pPr>
        <w:pStyle w:val="ListParagraph"/>
        <w:numPr>
          <w:ilvl w:val="0"/>
          <w:numId w:val="2"/>
        </w:numPr>
        <w:spacing w:after="80"/>
      </w:pPr>
      <w:r>
        <w:t xml:space="preserve">Polling rather than a persistent connection keeps the script simple and resilient to Elasticsearch restarts, at the cost of up to 10 seconds of detection latency.</w:t>
      </w:r>
    </w:p>
    <w:p>
      <w:pPr>
        <w:pStyle w:val="ListParagraph"/>
        <w:numPr>
          <w:ilvl w:val="0"/>
          <w:numId w:val="2"/>
        </w:numPr>
        <w:spacing w:after="80"/>
      </w:pPr>
      <w:r>
        <w:t xml:space="preserve">The cooldown period prevents the same ongoing attack from generating a new alert every single poll cycle, mirroring how production alerting systems avoid flooding an analyst's queue with duplicate notifications for one incident.</w:t>
      </w:r>
    </w:p>
    <w:p>
      <w:pPr>
        <w:pStyle w:val="ListParagraph"/>
        <w:numPr>
          <w:ilvl w:val="0"/>
          <w:numId w:val="2"/>
        </w:numPr>
        <w:spacing w:after="80"/>
      </w:pPr>
      <w:r>
        <w:t xml:space="preserve">Source IP extraction relies on a regex against unstructured log text, rather than a pre-parsed field — a deliberate design constraint reflecting how Lab 1's pipeline was originally built, and a realistic example of working with imperfect existing data sources.</w:t>
      </w:r>
    </w:p>
    <w:p>
      <w:pPr>
        <w:pStyle w:val="Heading1"/>
        <w:spacing w:after="160" w:before="320"/>
      </w:pPr>
      <w:r>
        <w:t xml:space="preserve">Evidence</w:t>
      </w:r>
    </w:p>
    <w:p>
      <w:pPr>
        <w:spacing w:after="160"/>
      </w:pPr>
      <w:r>
        <w:rPr>
          <w:i/>
          <w:iCs/>
          <w:color w:val="888888"/>
        </w:rPr>
        <w:t xml:space="preserve">[Insert your screenshots here — e.g. the detector running, the alert firing, the cooldown suppression, and the alert visible in Kibana.]</w:t>
      </w:r>
    </w:p>
    <w:p>
      <w:pPr>
        <w:pStyle w:val="Heading1"/>
        <w:spacing w:after="160" w:before="320"/>
      </w:pPr>
      <w:r>
        <w:t xml:space="preserve">Recommendation</w:t>
      </w:r>
    </w:p>
    <w:p>
      <w:pPr>
        <w:pStyle w:val="ListParagraph"/>
        <w:numPr>
          <w:ilvl w:val="0"/>
          <w:numId w:val="2"/>
        </w:numPr>
        <w:spacing w:after="80"/>
      </w:pPr>
      <w:r>
        <w:t xml:space="preserve">Extend the detector to track multiple usernames per source IP, distinguishing a focused brute-force against one account from a broader password-spray attempt across many accounts.</w:t>
      </w:r>
    </w:p>
    <w:p>
      <w:pPr>
        <w:pStyle w:val="ListParagraph"/>
        <w:numPr>
          <w:ilvl w:val="0"/>
          <w:numId w:val="2"/>
        </w:numPr>
        <w:spacing w:after="80"/>
      </w:pPr>
      <w:r>
        <w:t xml:space="preserve">Move the in-memory state (failure windows, cooldown tracking) to a persistent store (e.g. Redis) so detection state survives a script restart without losing track of an in-progress attack.</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2026-07-09T07:39:59.115Z</dcterms:created>
  <dcterms:modified xsi:type="dcterms:W3CDTF">2026-07-09T07:39:59.134Z</dcterms:modified>
</cp:coreProperties>
</file>

<file path=docProps/custom.xml><?xml version="1.0" encoding="utf-8"?>
<Properties xmlns="http://schemas.openxmlformats.org/officeDocument/2006/custom-properties" xmlns:vt="http://schemas.openxmlformats.org/officeDocument/2006/docPropsVTypes"/>
</file>