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090"/>
          <w:sz w:val="40"/>
          <w:szCs w:val="40"/>
        </w:rPr>
        <w:t xml:space="preserve">Lab 7 — Investigation Write-Up</w:t>
      </w:r>
    </w:p>
    <w:p>
      <w:pPr>
        <w:pBdr>
          <w:bottom w:val="single" w:color="2E5090" w:sz="6" w:space="8"/>
        </w:pBdr>
        <w:spacing w:after="80"/>
      </w:pPr>
      <w:r>
        <w:rPr>
          <w:i/>
          <w:iCs/>
          <w:color w:val="555555"/>
          <w:sz w:val="24"/>
          <w:szCs w:val="24"/>
        </w:rPr>
        <w:t xml:space="preserve">Exploitation Visibility Analysis</w:t>
      </w:r>
    </w:p>
    <w:p>
      <w:pPr>
        <w:pStyle w:val="Heading1"/>
        <w:spacing w:after="160" w:before="320"/>
      </w:pPr>
      <w:r>
        <w:t xml:space="preserve">Incident Summary</w:t>
      </w:r>
    </w:p>
    <w:tbl>
      <w:tblPr>
        <w:tblW w:type="pct" w:w="100%"/>
        <w:tblBorders>
          <w:top w:val="none"/>
          <w:left w:val="none"/>
          <w:bottom w:val="none"/>
          <w:right w:val="none"/>
          <w:insideH w:val="none"/>
          <w:insideV w:val="none"/>
        </w:tblBorders>
      </w:tblPr>
      <w:tblGrid>
        <w:gridCol w:w="2600"/>
        <w:gridCol w:w="7360"/>
      </w:tblGrid>
      <w:tr>
        <w:tc>
          <w:tcPr>
            <w:tcW w:type="dxa" w:w="2600"/>
          </w:tcPr>
          <w:p>
            <w:r>
              <w:rPr>
                <w:b/>
                <w:bCs/>
              </w:rPr>
              <w:t xml:space="preserve">Date/Time:</w:t>
            </w:r>
          </w:p>
        </w:tc>
        <w:tc>
          <w:tcPr>
            <w:tcW w:type="dxa" w:w="7360"/>
          </w:tcPr>
          <w:p>
            <w:pPr>
              <w:pBdr>
                <w:bottom w:val="single" w:color="AAAAAA" w:sz="4"/>
              </w:pBdr>
            </w:pPr>
            <w:r>
              <w:rPr>
                <w:i/>
                <w:iCs/>
                <w:color w:val="888888"/>
              </w:rPr>
              <w:t xml:space="preserve">fill in from the msfconsole session-opened timestamp</w:t>
            </w:r>
          </w:p>
        </w:tc>
      </w:tr>
    </w:tbl>
    <w:tbl>
      <w:tblPr>
        <w:tblW w:type="pct" w:w="100%"/>
        <w:tblBorders>
          <w:top w:val="none"/>
          <w:left w:val="none"/>
          <w:bottom w:val="none"/>
          <w:right w:val="none"/>
          <w:insideH w:val="none"/>
          <w:insideV w:val="none"/>
        </w:tblBorders>
      </w:tblPr>
      <w:tblGrid>
        <w:gridCol w:w="2600"/>
        <w:gridCol w:w="7360"/>
      </w:tblGrid>
      <w:tr>
        <w:tc>
          <w:tcPr>
            <w:tcW w:type="dxa" w:w="2600"/>
          </w:tcPr>
          <w:p>
            <w:r>
              <w:rPr>
                <w:b/>
                <w:bCs/>
              </w:rPr>
              <w:t xml:space="preserve">Source:</w:t>
            </w:r>
          </w:p>
        </w:tc>
        <w:tc>
          <w:tcPr>
            <w:tcW w:type="dxa" w:w="7360"/>
          </w:tcPr>
          <w:p>
            <w:pPr>
              <w:pBdr>
                <w:bottom w:val="single" w:color="AAAAAA" w:sz="4"/>
              </w:pBdr>
            </w:pPr>
            <w:r>
              <w:rPr>
                <w:i/>
                <w:iCs/>
                <w:color w:val="888888"/>
              </w:rPr>
              <w:t xml:space="preserve">192.168.56.101 (Kali)</w:t>
            </w:r>
          </w:p>
        </w:tc>
      </w:tr>
    </w:tbl>
    <w:tbl>
      <w:tblPr>
        <w:tblW w:type="pct" w:w="100%"/>
        <w:tblBorders>
          <w:top w:val="none"/>
          <w:left w:val="none"/>
          <w:bottom w:val="none"/>
          <w:right w:val="none"/>
          <w:insideH w:val="none"/>
          <w:insideV w:val="none"/>
        </w:tblBorders>
      </w:tblPr>
      <w:tblGrid>
        <w:gridCol w:w="2600"/>
        <w:gridCol w:w="7360"/>
      </w:tblGrid>
      <w:tr>
        <w:tc>
          <w:tcPr>
            <w:tcW w:type="dxa" w:w="2600"/>
          </w:tcPr>
          <w:p>
            <w:r>
              <w:rPr>
                <w:b/>
                <w:bCs/>
              </w:rPr>
              <w:t xml:space="preserve">Target:</w:t>
            </w:r>
          </w:p>
        </w:tc>
        <w:tc>
          <w:tcPr>
            <w:tcW w:type="dxa" w:w="7360"/>
          </w:tcPr>
          <w:p>
            <w:pPr>
              <w:pBdr>
                <w:bottom w:val="single" w:color="AAAAAA" w:sz="4"/>
              </w:pBdr>
            </w:pPr>
            <w:r>
              <w:rPr>
                <w:i/>
                <w:iCs/>
                <w:color w:val="888888"/>
              </w:rPr>
              <w:t xml:space="preserve">192.168.56.103 (Metasploitable2)</w:t>
            </w:r>
          </w:p>
        </w:tc>
      </w:tr>
    </w:tbl>
    <w:tbl>
      <w:tblPr>
        <w:tblW w:type="pct" w:w="100%"/>
        <w:tblBorders>
          <w:top w:val="none"/>
          <w:left w:val="none"/>
          <w:bottom w:val="none"/>
          <w:right w:val="none"/>
          <w:insideH w:val="none"/>
          <w:insideV w:val="none"/>
        </w:tblBorders>
      </w:tblPr>
      <w:tblGrid>
        <w:gridCol w:w="2600"/>
        <w:gridCol w:w="7360"/>
      </w:tblGrid>
      <w:tr>
        <w:tc>
          <w:tcPr>
            <w:tcW w:type="dxa" w:w="2600"/>
          </w:tcPr>
          <w:p>
            <w:r>
              <w:rPr>
                <w:b/>
                <w:bCs/>
              </w:rPr>
              <w:t xml:space="preserve">Technique:</w:t>
            </w:r>
          </w:p>
        </w:tc>
        <w:tc>
          <w:tcPr>
            <w:tcW w:type="dxa" w:w="7360"/>
          </w:tcPr>
          <w:p>
            <w:pPr>
              <w:pBdr>
                <w:bottom w:val="single" w:color="AAAAAA" w:sz="4"/>
              </w:pBdr>
            </w:pPr>
            <w:r>
              <w:rPr>
                <w:i/>
                <w:iCs/>
                <w:color w:val="888888"/>
              </w:rPr>
              <w:t xml:space="preserve">Unauthenticated remote code execution via distccd (exploit/unix/misc/distcc_exec)</w:t>
            </w:r>
          </w:p>
        </w:tc>
      </w:tr>
    </w:tbl>
    <w:p>
      <w:pPr>
        <w:pStyle w:val="Heading1"/>
        <w:spacing w:after="160" w:before="320"/>
      </w:pPr>
      <w:r>
        <w:t xml:space="preserve">Coverage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200"/>
        <w:gridCol w:w="2280"/>
      </w:tblGrid>
      <w:tr>
        <w:trPr>
          <w:tblHeader/>
        </w:trPr>
        <w:tc>
          <w:tcPr>
            <w:tcW w:type="dxa" w:w="1600"/>
            <w:shd w:fill="2E5090" w:val="clear"/>
          </w:tcPr>
          <w:p>
            <w:r>
              <w:rPr>
                <w:b/>
                <w:bCs/>
                <w:color w:val="FFFFFF"/>
              </w:rPr>
              <w:t xml:space="preserve">Layer</w:t>
            </w:r>
          </w:p>
        </w:tc>
        <w:tc>
          <w:tcPr>
            <w:tcW w:type="dxa" w:w="2900"/>
            <w:shd w:fill="2E5090" w:val="clear"/>
          </w:tcPr>
          <w:p>
            <w:r>
              <w:rPr>
                <w:b/>
                <w:bCs/>
                <w:color w:val="FFFFFF"/>
              </w:rPr>
              <w:t xml:space="preserve">What Was Checked</w:t>
            </w:r>
          </w:p>
        </w:tc>
        <w:tc>
          <w:tcPr>
            <w:tcW w:type="dxa" w:w="2200"/>
            <w:shd w:fill="2E5090" w:val="clear"/>
          </w:tcPr>
          <w:p>
            <w:r>
              <w:rPr>
                <w:b/>
                <w:bCs/>
                <w:color w:val="FFFFFF"/>
              </w:rPr>
              <w:t xml:space="preserve">Evidence Found?</w:t>
            </w:r>
          </w:p>
        </w:tc>
        <w:tc>
          <w:tcPr>
            <w:tcW w:type="dxa" w:w="2280"/>
            <w:shd w:fill="2E5090" w:val="clear"/>
          </w:tcPr>
          <w:p>
            <w:r>
              <w:rPr>
                <w:b/>
                <w:bCs/>
                <w:color w:val="FFFFFF"/>
              </w:rPr>
              <w:t xml:space="preserve">Notes</w:t>
            </w:r>
          </w:p>
        </w:tc>
      </w:tr>
      <w:tr>
        <w:tc>
          <w:tcPr>
            <w:tcW w:type="dxa" w:w="1600"/>
          </w:tcPr>
          <w:p>
            <w:r>
              <w:t xml:space="preserve">1 — Local logs</w:t>
            </w:r>
          </w:p>
        </w:tc>
        <w:tc>
          <w:tcPr>
            <w:tcW w:type="dxa" w:w="2900"/>
          </w:tcPr>
          <w:p>
            <w:r>
              <w:t xml:space="preserve">/var/log/auth.log, /var/log/syslog, /var/log/daemon.log on the target</w:t>
            </w:r>
          </w:p>
        </w:tc>
        <w:tc>
          <w:tcPr>
            <w:tcW w:type="dxa" w:w="2200"/>
          </w:tcPr>
          <w:p>
            <w:r>
              <w:rPr>
                <w:i/>
                <w:iCs/>
                <w:color w:val="888888"/>
              </w:rPr>
              <w:t xml:space="preserve">[fill in]</w:t>
            </w:r>
          </w:p>
        </w:tc>
        <w:tc>
          <w:tcPr>
            <w:tcW w:type="dxa" w:w="2280"/>
          </w:tcPr>
          <w:p>
            <w:r>
              <w:rPr>
                <w:i/>
                <w:iCs/>
                <w:color w:val="888888"/>
              </w:rPr>
              <w:t xml:space="preserve">[fill in]</w:t>
            </w:r>
          </w:p>
        </w:tc>
      </w:tr>
      <w:tr>
        <w:tc>
          <w:tcPr>
            <w:tcW w:type="dxa" w:w="1600"/>
          </w:tcPr>
          <w:p>
            <w:r>
              <w:t xml:space="preserve">2 — Existing SIEM</w:t>
            </w:r>
          </w:p>
        </w:tc>
        <w:tc>
          <w:tcPr>
            <w:tcW w:type="dxa" w:w="2900"/>
          </w:tcPr>
          <w:p>
            <w:r>
              <w:t xml:space="preserve">ssh-auth-logs-*, portscan-logs-*, beacon-logs-*</w:t>
            </w:r>
          </w:p>
        </w:tc>
        <w:tc>
          <w:tcPr>
            <w:tcW w:type="dxa" w:w="2200"/>
          </w:tcPr>
          <w:p>
            <w:r>
              <w:rPr>
                <w:i/>
                <w:iCs/>
                <w:color w:val="888888"/>
              </w:rPr>
              <w:t xml:space="preserve">[fill in]</w:t>
            </w:r>
          </w:p>
        </w:tc>
        <w:tc>
          <w:tcPr>
            <w:tcW w:type="dxa" w:w="2280"/>
          </w:tcPr>
          <w:p>
            <w:r>
              <w:rPr>
                <w:i/>
                <w:iCs/>
                <w:color w:val="888888"/>
              </w:rPr>
              <w:t xml:space="preserve">[fill in]</w:t>
            </w:r>
          </w:p>
        </w:tc>
      </w:tr>
      <w:tr>
        <w:tc>
          <w:tcPr>
            <w:tcW w:type="dxa" w:w="1600"/>
          </w:tcPr>
          <w:p>
            <w:r>
              <w:t xml:space="preserve">3 — Purpose-built fix</w:t>
            </w:r>
          </w:p>
        </w:tc>
        <w:tc>
          <w:tcPr>
            <w:tcW w:type="dxa" w:w="2900"/>
          </w:tcPr>
          <w:p>
            <w:r>
              <w:t xml:space="preserve">distcc-access-logs-* (built in this lab)</w:t>
            </w:r>
          </w:p>
        </w:tc>
        <w:tc>
          <w:tcPr>
            <w:tcW w:type="dxa" w:w="2200"/>
          </w:tcPr>
          <w:p>
            <w:r>
              <w:rPr>
                <w:i/>
                <w:iCs/>
                <w:color w:val="888888"/>
              </w:rPr>
              <w:t xml:space="preserve">[fill in]</w:t>
            </w:r>
          </w:p>
        </w:tc>
        <w:tc>
          <w:tcPr>
            <w:tcW w:type="dxa" w:w="2280"/>
          </w:tcPr>
          <w:p>
            <w:r>
              <w:rPr>
                <w:i/>
                <w:iCs/>
                <w:color w:val="888888"/>
              </w:rPr>
              <w:t xml:space="preserve">[fill in]</w:t>
            </w:r>
          </w:p>
        </w:tc>
      </w:tr>
    </w:tbl>
    <w:p>
      <w:pPr>
        <w:spacing w:after="200"/>
      </w:pPr>
    </w:p>
    <w:p>
      <w:pPr>
        <w:pStyle w:val="Heading1"/>
        <w:spacing w:after="160" w:before="320"/>
      </w:pPr>
      <w:r>
        <w:t xml:space="preserve">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80"/>
        <w:gridCol w:w="4980"/>
      </w:tblGrid>
      <w:tr>
        <w:trPr>
          <w:tblHeader/>
        </w:trPr>
        <w:tc>
          <w:tcPr>
            <w:tcW w:type="dxa" w:w="4980"/>
            <w:shd w:fill="2E5090" w:val="clear"/>
          </w:tcPr>
          <w:p>
            <w:r>
              <w:rPr>
                <w:b/>
                <w:bCs/>
                <w:color w:val="FFFFFF"/>
              </w:rPr>
              <w:t xml:space="preserve">Time</w:t>
            </w:r>
          </w:p>
        </w:tc>
        <w:tc>
          <w:tcPr>
            <w:tcW w:type="dxa" w:w="4980"/>
            <w:shd w:fill="2E5090" w:val="clear"/>
          </w:tcPr>
          <w:p>
            <w:r>
              <w:rPr>
                <w:b/>
                <w:bCs/>
                <w:color w:val="FFFFFF"/>
              </w:rPr>
              <w:t xml:space="preserve">Event</w:t>
            </w:r>
          </w:p>
        </w:tc>
      </w:tr>
      <w:tr>
        <w:tc>
          <w:tcPr>
            <w:tcW w:type="dxa" w:w="4980"/>
          </w:tcPr>
          <w:p>
            <w:r>
              <w:rPr>
                <w:i/>
                <w:iCs/>
                <w:color w:val="888888"/>
              </w:rPr>
              <w:t xml:space="preserve">[timestamp]</w:t>
            </w:r>
          </w:p>
        </w:tc>
        <w:tc>
          <w:tcPr>
            <w:tcW w:type="dxa" w:w="4980"/>
          </w:tcPr>
          <w:p>
            <w:r>
              <w:t xml:space="preserve">Baseline recorded</w:t>
            </w:r>
          </w:p>
        </w:tc>
      </w:tr>
      <w:tr>
        <w:tc>
          <w:tcPr>
            <w:tcW w:type="dxa" w:w="4980"/>
          </w:tcPr>
          <w:p>
            <w:r>
              <w:rPr>
                <w:i/>
                <w:iCs/>
                <w:color w:val="888888"/>
              </w:rPr>
              <w:t xml:space="preserve">[timestamp]</w:t>
            </w:r>
          </w:p>
        </w:tc>
        <w:tc>
          <w:tcPr>
            <w:tcW w:type="dxa" w:w="4980"/>
          </w:tcPr>
          <w:p>
            <w:r>
              <w:t xml:space="preserve">Exploit executed</w:t>
            </w:r>
          </w:p>
        </w:tc>
      </w:tr>
      <w:tr>
        <w:tc>
          <w:tcPr>
            <w:tcW w:type="dxa" w:w="4980"/>
          </w:tcPr>
          <w:p>
            <w:r>
              <w:rPr>
                <w:i/>
                <w:iCs/>
                <w:color w:val="888888"/>
              </w:rPr>
              <w:t xml:space="preserve">[timestamp]</w:t>
            </w:r>
          </w:p>
        </w:tc>
        <w:tc>
          <w:tcPr>
            <w:tcW w:type="dxa" w:w="4980"/>
          </w:tcPr>
          <w:p>
            <w:r>
              <w:t xml:space="preserve">Local logs re-checked</w:t>
            </w:r>
          </w:p>
        </w:tc>
      </w:tr>
      <w:tr>
        <w:tc>
          <w:tcPr>
            <w:tcW w:type="dxa" w:w="4980"/>
          </w:tcPr>
          <w:p>
            <w:r>
              <w:rPr>
                <w:i/>
                <w:iCs/>
                <w:color w:val="888888"/>
              </w:rPr>
              <w:t xml:space="preserve">[timestamp]</w:t>
            </w:r>
          </w:p>
        </w:tc>
        <w:tc>
          <w:tcPr>
            <w:tcW w:type="dxa" w:w="4980"/>
          </w:tcPr>
          <w:p>
            <w:r>
              <w:t xml:space="preserve">SIEM gap confirmed</w:t>
            </w:r>
          </w:p>
        </w:tc>
      </w:tr>
      <w:tr>
        <w:tc>
          <w:tcPr>
            <w:tcW w:type="dxa" w:w="4980"/>
          </w:tcPr>
          <w:p>
            <w:r>
              <w:rPr>
                <w:i/>
                <w:iCs/>
                <w:color w:val="888888"/>
              </w:rPr>
              <w:t xml:space="preserve">[timestamp]</w:t>
            </w:r>
          </w:p>
        </w:tc>
        <w:tc>
          <w:tcPr>
            <w:tcW w:type="dxa" w:w="4980"/>
          </w:tcPr>
          <w:p>
            <w:r>
              <w:t xml:space="preserve">Fix built and verified</w:t>
            </w:r>
          </w:p>
        </w:tc>
      </w:tr>
    </w:tbl>
    <w:p>
      <w:pPr>
        <w:spacing w:after="200"/>
      </w:pPr>
    </w:p>
    <w:p>
      <w:pPr>
        <w:pStyle w:val="Heading1"/>
        <w:spacing w:after="160" w:before="320"/>
      </w:pPr>
      <w:r>
        <w:t xml:space="preserve">Detection Logic (Purpose-Built Fix)</w:t>
      </w:r>
    </w:p>
    <w:p>
      <w:pPr>
        <w:spacing w:after="160"/>
      </w:pPr>
      <w:r>
        <w:t xml:space="preserve">An iptables INPUT rule logs connection attempts to port 3632, forwarded through the existing syslog/Logstash pipeline into a dedicated distcc-access-logs-* index. This restores network-level visibility into who is connecting to this service, though it does not capture the executed commands themselves — that would require application-layer logging within distccd, which remains a gap even after this fix.</w:t>
      </w:r>
    </w:p>
    <w:p>
      <w:pPr>
        <w:pStyle w:val="Heading1"/>
        <w:spacing w:after="160" w:before="320"/>
      </w:pPr>
      <w:r>
        <w:t xml:space="preserve">Evidence</w:t>
      </w:r>
    </w:p>
    <w:p>
      <w:pPr>
        <w:spacing w:after="160"/>
      </w:pPr>
      <w:r>
        <w:rPr>
          <w:i/>
          <w:iCs/>
          <w:color w:val="888888"/>
        </w:rPr>
        <w:t xml:space="preserve">[Insert your screenshots here — e.g. the exploit succeeding, the baseline/post-exploitation log comparison, the SIEM gap queries, and the fix verification.]</w:t>
      </w:r>
    </w:p>
    <w:p>
      <w:pPr>
        <w:pStyle w:val="Heading1"/>
        <w:spacing w:after="160" w:before="320"/>
      </w:pPr>
      <w:r>
        <w:t xml:space="preserve">Recommendation</w:t>
      </w:r>
    </w:p>
    <w:p>
      <w:pPr>
        <w:pStyle w:val="ListParagraph"/>
        <w:numPr>
          <w:ilvl w:val="0"/>
          <w:numId w:val="2"/>
        </w:numPr>
        <w:spacing w:after="80"/>
      </w:pPr>
      <w:r>
        <w:t xml:space="preserve">Treat services with no default logging (like distccd) as a distinct risk category during onboarding of any new service — visibility should be evaluated and built before deployment, not discovered missing after an incident.</w:t>
      </w:r>
    </w:p>
    <w:p>
      <w:pPr>
        <w:pStyle w:val="ListParagraph"/>
        <w:numPr>
          <w:ilvl w:val="0"/>
          <w:numId w:val="2"/>
        </w:numPr>
        <w:spacing w:after="80"/>
      </w:pPr>
      <w:r>
        <w:t xml:space="preserve">Periodically run structured gap assessments like this one across all exposed services, comparing local logs, SIEM coverage, and any custom detections, rather than assuming existing pipelines generalize to new attack surface.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2026-07-11T11:11:14.929Z</dcterms:created>
  <dcterms:modified xsi:type="dcterms:W3CDTF">2026-07-11T11:11:14.946Z</dcterms:modified>
</cp:coreProperties>
</file>

<file path=docProps/custom.xml><?xml version="1.0" encoding="utf-8"?>
<Properties xmlns="http://schemas.openxmlformats.org/officeDocument/2006/custom-properties" xmlns:vt="http://schemas.openxmlformats.org/officeDocument/2006/docPropsVTypes"/>
</file>