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rFonts w:ascii="Arial" w:cs="Arial" w:eastAsia="Arial" w:hAnsi="Arial"/>
          <w:b/>
          <w:bCs/>
          <w:sz w:val="40"/>
          <w:szCs w:val="40"/>
        </w:rPr>
        <w:t xml:space="preserve">GreenUp 2027 : combien Veolia peut-elle encore acheter sans dépasser ses engagements de levier ?</w:t>
      </w:r>
    </w:p>
    <w:p>
      <w:pPr>
        <w:spacing w:after="600"/>
        <w:jc w:val="center"/>
      </w:pPr>
      <w:r>
        <w:rPr>
          <w:rFonts w:ascii="Arial" w:cs="Arial" w:eastAsia="Arial" w:hAnsi="Arial"/>
          <w:color w:val="555555"/>
          <w:sz w:val="26"/>
          <w:szCs w:val="26"/>
        </w:rPr>
        <w:t xml:space="preserve">Capstone Innovations in Finance — sujet 2, périmètre « capacité financière »</w:t>
      </w:r>
    </w:p>
    <w:p>
      <w:pPr>
        <w:spacing w:after="120" w:line="300"/>
        <w:jc w:val="center"/>
      </w:pPr>
      <w:r>
        <w:rPr>
          <w:rFonts w:ascii="Arial" w:cs="Arial" w:eastAsia="Arial" w:hAnsi="Arial"/>
          <w:sz w:val="22"/>
          <w:szCs w:val="22"/>
        </w:rPr>
        <w:t xml:space="preserve">Rapport écrit — remise le 25 novembre 2026</w:t>
      </w:r>
    </w:p>
    <w:p>
      <w:pPr>
        <w:spacing w:after="120" w:line="300"/>
        <w:jc w:val="center"/>
      </w:pPr>
      <w:r>
        <w:rPr>
          <w:rFonts w:ascii="Arial" w:cs="Arial" w:eastAsia="Arial" w:hAnsi="Arial"/>
          <w:i/>
          <w:iCs/>
          <w:sz w:val="22"/>
          <w:szCs w:val="22"/>
        </w:rPr>
        <w:t xml:space="preserve">Groupe : [[prénoms et noms, un par rôle]]</w:t>
      </w:r>
    </w:p>
    <w:p>
      <w:pPr>
        <w:spacing w:before="1200"/>
        <w:jc w:val="center"/>
      </w:pPr>
      <w:r>
        <w:rPr>
          <w:rFonts w:ascii="Arial" w:cs="Arial" w:eastAsia="Arial" w:hAnsi="Arial"/>
          <w:color w:val="555555"/>
          <w:sz w:val="18"/>
          <w:szCs w:val="18"/>
        </w:rPr>
        <w:t xml:space="preserve">Squelette généré le 2026-10-06 depuis la dataroom du groupe (596 chiffres sourcés ; contrôles du classeur : OK). Chaque chiffre cité renvoie à l'annexe A : fichier, page, URL, date de consultation. Les passages surlignés sont à rédiger par l'auteur de la section ; « † » après un identifiant : ligne que personne n'a encore relue.</w:t>
      </w:r>
    </w:p>
    <w:p>
      <w:r>
        <w:br w:type="page"/>
      </w:r>
    </w:p>
    <w:p>
      <w:pPr>
        <w:pStyle w:val="Heading1"/>
        <w:spacing w:after="120" w:before="240"/>
      </w:pPr>
      <w:r>
        <w:rPr>
          <w:rFonts w:ascii="Arial" w:cs="Arial" w:eastAsia="Arial" w:hAnsi="Arial"/>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Arial" w:cs="Arial" w:eastAsia="Arial" w:hAnsi="Arial"/>
        </w:rPr>
        <w:t xml:space="preserve">La réponse en une page</w:t>
      </w:r>
    </w:p>
    <w:p>
      <w:pPr>
        <w:spacing w:after="120" w:line="300"/>
      </w:pPr>
      <w:r>
        <w:rPr>
          <w:rFonts w:ascii="Arial" w:cs="Arial" w:eastAsia="Arial" w:hAnsi="Arial"/>
          <w:sz w:val="22"/>
          <w:szCs w:val="22"/>
        </w:rPr>
        <w:t xml:space="preserve">Veolia annonce des enveloppes nettes. Clean Earth en est sorti ; le programme de cessions de plus de 2 Md€ d'ici mi-2028 l'y ramène. Si ce programme est encaissé à temps, il reste fin 2027 environ 1,6 Md€ de marge sous 3x, soit une acquisition d'environ 2,3 Md€ au multiple de Clean Earth. Cette marge dépend d'abord du calendrier des cessions, de la croissance organique de 2027 et des tuck-ins. Elle disparaît si tout tourne mal en même temps, ou si l'on compte la moitié des hybrides en dette. Le seuil des agences (FFO / dette ajustée ≥ 18 % chez S&amp;P) est la contrainte de 2026 : 19,3 % dans le scénario central, dans l'attente de Moody's ; fin 2027 il laisse 4,3 Md€ et c'est le 3x qui mord. Le booster déchets dangereux tient son objectif de volume révisé, pas l'initial, et sa croissance est surtout achetée. Le passif environnemental de Clean Earth n'est pas encore visible dans les comptes.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600"/>
        <w:gridCol w:w="4226"/>
      </w:tblGrid>
      <w:tr>
        <w:trPr>
          <w:tblHeader/>
        </w:trPr>
        <w:tc>
          <w:tcPr>
            <w:tcW w:type="dxa" w:w="32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Indicateur</w:t>
            </w:r>
          </w:p>
        </w:tc>
        <w:tc>
          <w:tcPr>
            <w:tcW w:type="dxa" w:w="1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42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Ce qu'il faut en lire</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fin 2026</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3,02x</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 égal ou légèrement au-dessus de 3x</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fin 2027</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2,80x</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 : au plus 3x</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sous 3x fin 2027</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1,57 Md€</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défavorable −0,53 · favorable 3,49</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sous 18 % S&amp;P fin 2027</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4,33 Md€</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 dette ajustée 19,3 % en 2026, 20,8 % en 2027</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fin 2027</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2,26 Md€</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sous la contrainte qui mord : Veolia</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Sorties nettes depuis 2024</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4,77 Md€</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enveloppe boosters annoncée : 4 Md€, nets</w:t>
            </w:r>
          </w:p>
        </w:tc>
      </w:tr>
    </w:tbl>
    <w:p>
      <w:pPr>
        <w:shd w:fill="FFF2A8" w:color="auto" w:val="clear"/>
        <w:spacing w:after="160" w:before="160"/>
      </w:pPr>
      <w:r>
        <w:rPr>
          <w:rFonts w:ascii="Arial" w:cs="Arial" w:eastAsia="Arial" w:hAnsi="Arial"/>
          <w:i/>
          <w:iCs/>
          <w:sz w:val="22"/>
          <w:szCs w:val="22"/>
        </w:rPr>
        <w:t xml:space="preserve">[À rédiger] 08_Livrables/texte/recommandation.md : ce que nous recommandons, ce que cela coûte et à qui, ce qui nous ferait changer d'avis.</w:t>
      </w:r>
    </w:p>
    <w:p>
      <w:r>
        <w:br w:type="page"/>
      </w:r>
    </w:p>
    <w:p>
      <w:pPr>
        <w:pStyle w:val="Heading1"/>
        <w:spacing w:after="120" w:before="240"/>
      </w:pPr>
      <w:r>
        <w:rPr>
          <w:rFonts w:ascii="Arial" w:cs="Arial" w:eastAsia="Arial" w:hAnsi="Arial"/>
        </w:rPr>
        <w:t xml:space="preserve">Les quatre questions de recherche de Veolia, et où le rapport y répond</w:t>
      </w:r>
    </w:p>
    <w:p>
      <w:pPr>
        <w:pStyle w:val="ListParagraph"/>
        <w:numPr>
          <w:ilvl w:val="0"/>
          <w:numId w:val="2"/>
        </w:numPr>
        <w:spacing w:after="80"/>
      </w:pPr>
      <w:r>
        <w:rPr>
          <w:rFonts w:ascii="Arial" w:cs="Arial" w:eastAsia="Arial" w:hAnsi="Arial"/>
          <w:sz w:val="22"/>
          <w:szCs w:val="22"/>
        </w:rPr>
        <w:t xml:space="preserve">Écart stratégique entre la trajectoire et 2027 (EBITDA, croissance, KPI ESG) ; segments et géographies qui sur- ou sous-performent → rôles 2 et 4.</w:t>
      </w:r>
    </w:p>
    <w:p>
      <w:pPr>
        <w:pStyle w:val="ListParagraph"/>
        <w:numPr>
          <w:ilvl w:val="0"/>
          <w:numId w:val="2"/>
        </w:numPr>
        <w:spacing w:after="80"/>
      </w:pPr>
      <w:r>
        <w:rPr>
          <w:rFonts w:ascii="Arial" w:cs="Arial" w:eastAsia="Arial" w:hAnsi="Arial"/>
          <w:sz w:val="22"/>
          <w:szCs w:val="22"/>
        </w:rPr>
        <w:t xml:space="preserve">Benchmark et opportunités : qui contribue le plus à l'ESG dans chaque booster ; multiples et synergies des deals récents → rôles 4 et 6.</w:t>
      </w:r>
    </w:p>
    <w:p>
      <w:pPr>
        <w:pStyle w:val="ListParagraph"/>
        <w:numPr>
          <w:ilvl w:val="0"/>
          <w:numId w:val="2"/>
        </w:numPr>
        <w:spacing w:after="80"/>
      </w:pPr>
      <w:r>
        <w:rPr>
          <w:rFonts w:ascii="Arial" w:cs="Arial" w:eastAsia="Arial" w:hAnsi="Arial"/>
          <w:sz w:val="22"/>
          <w:szCs w:val="22"/>
        </w:rPr>
        <w:t xml:space="preserve">Allocation du capital restant : capex organique ou croissance externe, boosters ou strongholds, critère d'impact ESG par euro → rôles 1, 3 et 6. « Tout le reste s'y alimente. »</w:t>
      </w:r>
    </w:p>
    <w:p>
      <w:pPr>
        <w:pStyle w:val="ListParagraph"/>
        <w:numPr>
          <w:ilvl w:val="0"/>
          <w:numId w:val="2"/>
        </w:numPr>
        <w:spacing w:after="80"/>
      </w:pPr>
      <w:r>
        <w:rPr>
          <w:rFonts w:ascii="Arial" w:cs="Arial" w:eastAsia="Arial" w:hAnsi="Arial"/>
          <w:sz w:val="22"/>
          <w:szCs w:val="22"/>
        </w:rPr>
        <w:t xml:space="preserve">Orientations : géographies, technologies, synergies (« 398 M€ en 2024 → objectif 530 M€ ») → rôle 6. Piège repéré : les 398 M€ de 2024 sont des gains d'efficacité ; les synergies Suez cumulées étaient de 435 M€ fin 2024, objectif relevé à 530 M€, réalisé 534 M€ fin 2025. À dire, pas à corriger en silence.</w:t>
      </w:r>
    </w:p>
    <w:p>
      <w:pPr>
        <w:pStyle w:val="Heading2"/>
        <w:spacing w:after="120" w:before="240"/>
      </w:pPr>
      <w:r>
        <w:rPr>
          <w:rFonts w:ascii="Arial" w:cs="Arial" w:eastAsia="Arial" w:hAnsi="Arial"/>
        </w:rPr>
        <w:t xml:space="preserve">Le chantier « capacité » en cinq blocs</w:t>
      </w:r>
    </w:p>
    <w:p>
      <w:pPr>
        <w:pStyle w:val="ListParagraph"/>
        <w:numPr>
          <w:ilvl w:val="0"/>
          <w:numId w:val="3"/>
        </w:numPr>
        <w:spacing w:after="80"/>
      </w:pPr>
      <w:r>
        <w:rPr>
          <w:rFonts w:ascii="Arial" w:cs="Arial" w:eastAsia="Arial" w:hAnsi="Arial"/>
          <w:sz w:val="22"/>
          <w:szCs w:val="22"/>
        </w:rPr>
        <w:t xml:space="preserve">Reconstituer ce qui a été dépensé, et dire si les 4 Md€ étaient bruts ou nets → rôle 1, Cessions §D.</w:t>
      </w:r>
    </w:p>
    <w:p>
      <w:pPr>
        <w:pStyle w:val="ListParagraph"/>
        <w:numPr>
          <w:ilvl w:val="0"/>
          <w:numId w:val="3"/>
        </w:numPr>
        <w:spacing w:after="80"/>
      </w:pPr>
      <w:r>
        <w:rPr>
          <w:rFonts w:ascii="Arial" w:cs="Arial" w:eastAsia="Arial" w:hAnsi="Arial"/>
          <w:sz w:val="22"/>
          <w:szCs w:val="22"/>
        </w:rPr>
        <w:t xml:space="preserve">La position de départ : dette, EBITDA, profil d'échéances, définition du levier propre à Veolia → rôle 2, Levier.</w:t>
      </w:r>
    </w:p>
    <w:p>
      <w:pPr>
        <w:pStyle w:val="ListParagraph"/>
        <w:numPr>
          <w:ilvl w:val="0"/>
          <w:numId w:val="3"/>
        </w:numPr>
        <w:spacing w:after="80"/>
      </w:pPr>
      <w:r>
        <w:rPr>
          <w:rFonts w:ascii="Arial" w:cs="Arial" w:eastAsia="Arial" w:hAnsi="Arial"/>
          <w:sz w:val="22"/>
          <w:szCs w:val="22"/>
        </w:rPr>
        <w:t xml:space="preserve">Traduire l'engagement en nombre, et lire les seuils de dégradation des agences, « la vraie limite » → rôle 2, Levier §B'.</w:t>
      </w:r>
    </w:p>
    <w:p>
      <w:pPr>
        <w:pStyle w:val="ListParagraph"/>
        <w:numPr>
          <w:ilvl w:val="0"/>
          <w:numId w:val="3"/>
        </w:numPr>
        <w:spacing w:after="80"/>
      </w:pPr>
      <w:r>
        <w:rPr>
          <w:rFonts w:ascii="Arial" w:cs="Arial" w:eastAsia="Arial" w:hAnsi="Arial"/>
          <w:sz w:val="22"/>
          <w:szCs w:val="22"/>
        </w:rPr>
        <w:t xml:space="preserve">Les trois sources de capacité : cash-flow libre, cessions, marge de levier → rôle 3, Trajectoire.</w:t>
      </w:r>
    </w:p>
    <w:p>
      <w:pPr>
        <w:pStyle w:val="ListParagraph"/>
        <w:numPr>
          <w:ilvl w:val="0"/>
          <w:numId w:val="3"/>
        </w:numPr>
        <w:spacing w:after="80"/>
      </w:pPr>
      <w:r>
        <w:rPr>
          <w:rFonts w:ascii="Arial" w:cs="Arial" w:eastAsia="Arial" w:hAnsi="Arial"/>
          <w:sz w:val="22"/>
          <w:szCs w:val="22"/>
        </w:rPr>
        <w:t xml:space="preserve">La sensibilité : prouver quel paramètre bouge le plus la réponse → rôle 3, Sensibilité.</w:t>
      </w:r>
    </w:p>
    <w:p>
      <w:r>
        <w:br w:type="page"/>
      </w:r>
    </w:p>
    <w:p>
      <w:pPr>
        <w:pStyle w:val="Heading1"/>
        <w:spacing w:after="120" w:before="240"/>
      </w:pPr>
      <w:r>
        <w:rPr>
          <w:rFonts w:ascii="Arial" w:cs="Arial" w:eastAsia="Arial" w:hAnsi="Arial"/>
        </w:rPr>
        <w:t xml:space="preserve">Rôle 1 — Périmètre et sources</w:t>
      </w:r>
    </w:p>
    <w:p>
      <w:pPr>
        <w:spacing w:after="120" w:line="300"/>
      </w:pPr>
      <w:r>
        <w:rPr>
          <w:rFonts w:ascii="Arial" w:cs="Arial" w:eastAsia="Arial" w:hAnsi="Arial"/>
          <w:i/>
          <w:iCs/>
          <w:color w:val="555555"/>
          <w:sz w:val="22"/>
          <w:szCs w:val="22"/>
        </w:rPr>
        <w:t xml:space="preserve">Le registre, et si l'enveloppe annoncée était brute ou nette des cessions.</w:t>
      </w:r>
    </w:p>
    <w:p>
      <w:pPr>
        <w:spacing w:after="120" w:line="300"/>
      </w:pPr>
      <w:r>
        <w:rPr>
          <w:rFonts w:ascii="Arial" w:cs="Arial" w:eastAsia="Arial" w:hAnsi="Arial"/>
          <w:i/>
          <w:iCs/>
          <w:color w:val="555555"/>
          <w:sz w:val="22"/>
          <w:szCs w:val="22"/>
        </w:rPr>
        <w:t xml:space="preserve">Section signée par : None</w:t>
      </w:r>
    </w:p>
    <w:p>
      <w:pPr>
        <w:pStyle w:val="Heading2"/>
        <w:spacing w:after="120" w:before="240"/>
      </w:pPr>
      <w:r>
        <w:rPr>
          <w:rFonts w:ascii="Arial" w:cs="Arial" w:eastAsia="Arial" w:hAnsi="Arial"/>
          <w:b w:val="false"/>
          <w:bCs w:val="false"/>
          <w:i w:val="false"/>
          <w:iCs w:val="false"/>
        </w:rPr>
        <w:t xml:space="preserve">Réponse</w:t>
      </w:r>
    </w:p>
    <w:p>
      <w:pPr>
        <w:shd w:fill="FFF2A8" w:color="auto" w:val="clear"/>
        <w:spacing w:after="160" w:before="160"/>
      </w:pPr>
      <w:r>
        <w:rPr>
          <w:rFonts w:ascii="Arial" w:cs="Arial" w:eastAsia="Arial" w:hAnsi="Arial"/>
          <w:i/>
          <w:iCs/>
          <w:sz w:val="22"/>
          <w:szCs w:val="22"/>
        </w:rPr>
        <w:t xml:space="preserve">[À rédiger] En un paragraphe : la réponse du rôle, avec ses chiffres clés cités par jeton.</w:t>
      </w:r>
    </w:p>
    <w:p>
      <w:pPr>
        <w:pStyle w:val="Heading2"/>
        <w:spacing w:after="120" w:before="240"/>
      </w:pPr>
      <w:r>
        <w:rPr>
          <w:rFonts w:ascii="Arial" w:cs="Arial" w:eastAsia="Arial" w:hAnsi="Arial"/>
          <w:b w:val="false"/>
          <w:bCs w:val="false"/>
          <w:i w:val="false"/>
          <w:iCs w:val="false"/>
        </w:rPr>
        <w:t xml:space="preserve">L'enveloppe GreenUp : brute ou nette ?</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Comment le registre a été constitué</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Ce que Clean Earth change au périmètre</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Ce que nous n'avons pas pu établir</w:t>
      </w:r>
    </w:p>
    <w:p>
      <w:pPr>
        <w:pStyle w:val="ListParagraph"/>
        <w:numPr>
          <w:ilvl w:val="0"/>
          <w:numId w:val="4"/>
        </w:numPr>
        <w:spacing w:after="80"/>
      </w:pPr>
      <w:r>
        <w:rPr>
          <w:rFonts w:ascii="Arial" w:cs="Arial" w:eastAsia="Arial" w:hAnsi="Arial"/>
          <w:b w:val="false"/>
          <w:bCs w:val="false"/>
          <w:i w:val="false"/>
          <w:iCs w:val="false"/>
          <w:sz w:val="22"/>
          <w:szCs w:val="22"/>
        </w:rPr>
        <w:t xml:space="preserve">[À rédiger]</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investissements nets de croissance, boosters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44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strongholds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44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des cessions (entrée)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des cessions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−2 301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des cessions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−2 869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Sorties nettes cumulées 2024 → 30/06/2026</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4,77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somme des trois ponts, signe inversé</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face aux 4 Md€ de l'enveloppe boosters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0,77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positif : enveloppe nette dépassée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déjà réalisée selon Veolia (brut)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totale prévue (brut)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acquisitions dans les boosters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acquisitions hors d'Europe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nette d'actifs annoncée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Tuck-ins, bas de fourchette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Tuck-ins, haut de fourchette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d'actifs non stratégiques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nette implicite (haut − cessions)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recalcul : égale l'annonce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nets annoncés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maintenance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croissance sur contrats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moins cessions industrielles (au plus)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0,3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d'actifs sur 4 ans (brut)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effet sur la dette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−2 778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Programme de cessions (au moins)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29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net du programme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0,78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1,6 année d'enveloppe nette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4"/>
        </w:numPr>
        <w:spacing w:after="80"/>
      </w:pPr>
      <w:r>
        <w:rPr>
          <w:rFonts w:ascii="Arial" w:cs="Arial" w:eastAsia="Arial" w:hAnsi="Arial"/>
          <w:sz w:val="22"/>
          <w:szCs w:val="22"/>
        </w:rPr>
        <w:t xml:space="preserve">GreenUp ne dit pas si la fourchette de tuck-ins est annuelle ; la colonne l'est (« / year »). À formuler prudemment.</w:t>
      </w:r>
    </w:p>
    <w:p>
      <w:pPr>
        <w:pStyle w:val="ListParagraph"/>
        <w:numPr>
          <w:ilvl w:val="0"/>
          <w:numId w:val="4"/>
        </w:numPr>
        <w:spacing w:after="80"/>
      </w:pPr>
      <w:r>
        <w:rPr>
          <w:rFonts w:ascii="Arial" w:cs="Arial" w:eastAsia="Arial" w:hAnsi="Arial"/>
          <w:sz w:val="22"/>
          <w:szCs w:val="22"/>
        </w:rPr>
        <w:t xml:space="preserve">« Plus de 2 Md€ » est un plancher : un programme plus gros changerait la lecture.</w:t>
      </w:r>
    </w:p>
    <w:p>
      <w:pPr>
        <w:pStyle w:val="ListParagraph"/>
        <w:numPr>
          <w:ilvl w:val="0"/>
          <w:numId w:val="4"/>
        </w:numPr>
        <w:spacing w:after="80"/>
      </w:pPr>
      <w:r>
        <w:rPr>
          <w:rFonts w:ascii="Arial" w:cs="Arial" w:eastAsia="Arial" w:hAnsi="Arial"/>
          <w:sz w:val="22"/>
          <w:szCs w:val="22"/>
        </w:rPr>
        <w:t xml:space="preserve">Aucun chiffre ni aucun deal n'a encore été relu par un deuxième membre du groupe.</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Pourquoi dites-vous que l'enveloppe est nette ?</w:t>
      </w:r>
    </w:p>
    <w:p>
      <w:pPr>
        <w:spacing w:after="120" w:line="300"/>
      </w:pPr>
      <w:r>
        <w:rPr>
          <w:rFonts w:ascii="Arial" w:cs="Arial" w:eastAsia="Arial" w:hAnsi="Arial"/>
          <w:sz w:val="22"/>
          <w:szCs w:val="22"/>
        </w:rPr>
        <w:t xml:space="preserve">Parce que la diapositive la présente comme une rotation nette et que les composantes publiées se recalculent : 1,0 Md€ de tuck-ins moins 0,5 Md€ de cessions donnent les 0,5 Md€ annoncés. Veolia applique la même convention aux investissements industriels.</w:t>
      </w:r>
    </w:p>
    <w:p>
      <w:pPr>
        <w:spacing w:after="120" w:line="300"/>
      </w:pPr>
      <w:r>
        <w:rPr>
          <w:rFonts w:ascii="Arial" w:cs="Arial" w:eastAsia="Arial" w:hAnsi="Arial"/>
          <w:b/>
          <w:bCs/>
          <w:sz w:val="22"/>
          <w:szCs w:val="22"/>
        </w:rPr>
        <w:t xml:space="preserve">Les 4 Md€ annoncés étaient-ils bruts ou nets des cessions ?</w:t>
      </w:r>
    </w:p>
    <w:p>
      <w:pPr>
        <w:spacing w:after="120" w:line="300"/>
      </w:pPr>
      <w:r>
        <w:rPr>
          <w:rFonts w:ascii="Arial" w:cs="Arial" w:eastAsia="Arial" w:hAnsi="Arial"/>
          <w:sz w:val="22"/>
          <w:szCs w:val="22"/>
        </w:rPr>
        <w:t xml:space="preserve">Nets : la diapositive d'allocation du capital parle de « net growth investments » pour les boosters. Le brut, Veolia l'appelle « rotation d'actifs » : 4 Md€ déjà faits, 8,5 Md€ au total avec Clean Earth et le plan de cessions.</w:t>
      </w:r>
    </w:p>
    <w:p>
      <w:pPr>
        <w:spacing w:after="120" w:line="300"/>
      </w:pPr>
      <w:r>
        <w:rPr>
          <w:rFonts w:ascii="Arial" w:cs="Arial" w:eastAsia="Arial" w:hAnsi="Arial"/>
          <w:b/>
          <w:bCs/>
          <w:sz w:val="22"/>
          <w:szCs w:val="22"/>
        </w:rPr>
        <w:t xml:space="preserve">Les 8 Md€ de rotation ne contredisent-ils pas les 0,5 Md€ par an ?</w:t>
      </w:r>
    </w:p>
    <w:p>
      <w:pPr>
        <w:spacing w:after="120" w:line="300"/>
      </w:pPr>
      <w:r>
        <w:rPr>
          <w:rFonts w:ascii="Arial" w:cs="Arial" w:eastAsia="Arial" w:hAnsi="Arial"/>
          <w:sz w:val="22"/>
          <w:szCs w:val="22"/>
        </w:rPr>
        <w:t xml:space="preserve">Non : les 8 Md€ sont un montant brut (achats et ventes additionnés) sur quatre ans, les 0,5 Md€ un solde annuel.</w:t>
      </w:r>
    </w:p>
    <w:p>
      <w:pPr>
        <w:spacing w:after="120" w:line="300"/>
      </w:pPr>
      <w:r>
        <w:rPr>
          <w:rFonts w:ascii="Arial" w:cs="Arial" w:eastAsia="Arial" w:hAnsi="Arial"/>
          <w:b/>
          <w:bCs/>
          <w:sz w:val="22"/>
          <w:szCs w:val="22"/>
        </w:rPr>
        <w:t xml:space="preserve">Comment avez-vous constitué le registre ?</w:t>
      </w:r>
    </w:p>
    <w:p>
      <w:pPr>
        <w:spacing w:after="120" w:line="300"/>
      </w:pPr>
      <w:r>
        <w:rPr>
          <w:rFonts w:ascii="Arial" w:cs="Arial" w:eastAsia="Arial" w:hAnsi="Arial"/>
          <w:sz w:val="22"/>
          <w:szCs w:val="22"/>
        </w:rPr>
        <w:t xml:space="preserve">À partir des documents publiés par Veolia (DEU, amendements, communiqués, présentations), une ligne par chiffre avec fichier, page, URL et date. Les opérations viennent des notes « Principales évolutions de périmètre » des comptes consolidés.</w:t>
      </w:r>
    </w:p>
    <w:p>
      <w:r>
        <w:br w:type="page"/>
      </w:r>
    </w:p>
    <w:p>
      <w:pPr>
        <w:pStyle w:val="Heading1"/>
        <w:spacing w:after="120" w:before="240"/>
      </w:pPr>
      <w:r>
        <w:rPr>
          <w:rFonts w:ascii="Arial" w:cs="Arial" w:eastAsia="Arial" w:hAnsi="Arial"/>
        </w:rPr>
        <w:t xml:space="preserve">Rôle 2 — La contrainte</w:t>
      </w:r>
    </w:p>
    <w:p>
      <w:pPr>
        <w:spacing w:after="120" w:line="300"/>
      </w:pPr>
      <w:r>
        <w:rPr>
          <w:rFonts w:ascii="Arial" w:cs="Arial" w:eastAsia="Arial" w:hAnsi="Arial"/>
          <w:i/>
          <w:iCs/>
          <w:color w:val="555555"/>
          <w:sz w:val="22"/>
          <w:szCs w:val="22"/>
        </w:rPr>
        <w:t xml:space="preserve">La position de départ, la définition du levier propre à Veolia, et le calcul jusqu'au plafond.</w:t>
      </w:r>
    </w:p>
    <w:p>
      <w:pPr>
        <w:spacing w:after="120" w:line="300"/>
      </w:pPr>
      <w:r>
        <w:rPr>
          <w:rFonts w:ascii="Arial" w:cs="Arial" w:eastAsia="Arial" w:hAnsi="Arial"/>
          <w:i/>
          <w:iCs/>
          <w:color w:val="555555"/>
          <w:sz w:val="22"/>
          <w:szCs w:val="22"/>
        </w:rPr>
        <w:t xml:space="preserve">Section signée par : None</w:t>
      </w:r>
    </w:p>
    <w:p>
      <w:pPr>
        <w:pStyle w:val="Heading2"/>
        <w:spacing w:after="120" w:before="240"/>
      </w:pPr>
      <w:r>
        <w:rPr>
          <w:rFonts w:ascii="Arial" w:cs="Arial" w:eastAsia="Arial" w:hAnsi="Arial"/>
          <w:b w:val="false"/>
          <w:bCs w:val="false"/>
          <w:i w:val="false"/>
          <w:iCs w:val="false"/>
        </w:rPr>
        <w:t xml:space="preserve">Réponse</w:t>
      </w:r>
    </w:p>
    <w:p>
      <w:pPr>
        <w:shd w:fill="FFF2A8" w:color="auto" w:val="clear"/>
        <w:spacing w:after="160" w:before="160"/>
      </w:pPr>
      <w:r>
        <w:rPr>
          <w:rFonts w:ascii="Arial" w:cs="Arial" w:eastAsia="Arial" w:hAnsi="Arial"/>
          <w:i/>
          <w:iCs/>
          <w:sz w:val="22"/>
          <w:szCs w:val="22"/>
        </w:rPr>
        <w:t xml:space="preserve">[À rédiger] En un paragraphe : la réponse du rôle, avec ses chiffres clés cités par jeton.</w:t>
      </w:r>
    </w:p>
    <w:p>
      <w:pPr>
        <w:pStyle w:val="Heading2"/>
        <w:spacing w:after="120" w:before="240"/>
      </w:pPr>
      <w:r>
        <w:rPr>
          <w:rFonts w:ascii="Arial" w:cs="Arial" w:eastAsia="Arial" w:hAnsi="Arial"/>
          <w:b w:val="false"/>
          <w:bCs w:val="false"/>
          <w:i w:val="false"/>
          <w:iCs w:val="false"/>
        </w:rPr>
        <w:t xml:space="preserve">La définition de Veolia et les ratios publiés</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Trois lectures du 30 juin 2026</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Les seuils des agences et le pont du FFO</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Le mur de refinancement face aux liquidités</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Ce que nous n'avons pas pu établir</w:t>
      </w:r>
    </w:p>
    <w:p>
      <w:pPr>
        <w:pStyle w:val="ListParagraph"/>
        <w:numPr>
          <w:ilvl w:val="0"/>
          <w:numId w:val="4"/>
        </w:numPr>
        <w:spacing w:after="80"/>
      </w:pPr>
      <w:r>
        <w:rPr>
          <w:rFonts w:ascii="Arial" w:cs="Arial" w:eastAsia="Arial" w:hAnsi="Arial"/>
          <w:b w:val="false"/>
          <w:bCs w:val="false"/>
          <w:i w:val="false"/>
          <w:iCs w:val="false"/>
          <w:sz w:val="22"/>
          <w:szCs w:val="22"/>
        </w:rPr>
        <w:t xml:space="preserve">[À rédiger]</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financière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17 819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6 788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publié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2,63x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financière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19 657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7 050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publié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2,79x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recalculé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2,79x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DFN / EBITDA</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au 30/06/2026, Clean Earth inclus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24 548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14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au 30/06/2025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20 764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glissant 12 mois au 30/06/2026</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7 235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2025 − S1 2025 + S1 2026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① Levier mécanique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3,39x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toute la dette, un mois d'EBITDA de Clean Earth</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② Pro forma Clean Earth 12 mois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3,32x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+ 11 mois d'EBITDA de Clean Earth</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③ Corrigé de la saisonnalité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3,17x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la baisse de dette du S2 2025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publié hors Clean Earth</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31/03/2026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2,92x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operating_and_financial_review_consolidated_financial_statements_q1_2026.pdf, p. 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maximale fin 2027 si l'objectif ≥ 8 Md€ est atteint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24 000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 × 8 000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maximale fin 2027 à l'EBITDA du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23 944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 × EBITDA 2027 central</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libérée par 0,5 Md€ d'EBITDA en plus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1 500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 × 500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Maturité moyenne de la dette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années</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à taux fixe après couverture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Dettes hybrides (capitaux propres)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vert 2025 : baisse de la dette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attendu 2026, bas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attendu 2026, haut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dégradation si FFO / dette nette sous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 high teens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relèvement si dans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 low-to-mid 20s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25,4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pic</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dégradation si FFO / dette durablement sous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attendu 2026-2028, bas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attendu 2026-2028, haut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2025 implicite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5 156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20,3 % × 25 400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requis en 2026 au seuil S&amp;P</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5 220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18 % × ~29 000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de FFO en 2026 au seuil S&amp;P</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−64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2025 − requis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Écart dette ajustée Moody's − dette nette publiée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5 743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retraitements d'agence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brute publiée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29 518,0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Sous-total des emprunts (DEU)</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29 518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pensions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647,0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hybrides à 50 %</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2 050,0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titrisation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1 014,0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ajustements non standard</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1 650,0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dette brute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34 879,0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trésorerie retenue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9 475,0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dette nette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25 404,0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hybrides dans l'écart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35,7 %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hybrides / (ajustée − publiée)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4 948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5 160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dividendes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1 341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3 819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 EBITDA ajustés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prévu</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18,5 %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prévu</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19,5 %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Pairs : ACEA, FFO / dette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Pairs : Hera, FFO / dette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Pairs : Suez, FFO / dette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11,4 %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Pairs : Suez, notation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05/2026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 Baa2 Negative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fin 2026 : égal ou légèrement au-dessus de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 2027 : au plus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fin 2026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3,02x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 forma 12 mois : 2,99x</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fin 2027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2,80x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1 571 M EUR</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si 50 % des hybrides comptent en dette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3,06x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lecture d'analyste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de dette 2026, principal et intérêts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9 642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de dette 2027</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3 891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Liquidités totales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15 911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 syndiquée non tirée, jusqu'en 2030</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4 500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Liquidités / flux de dette 2026</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1,65x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4,14x hors billets de trésorerie et hybride notifié</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Surcoût d'intérêts annuel, souches 2027-2028 refinancées au taux de juin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1,4 % du FFO 2025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Capacité d'autofinancement avant BFR (tableau de flux)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6 144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Intérêts payés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2025 reconstitué depuis le tableau de flux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5 157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5 160 ; écart −0,1 %</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4"/>
        </w:numPr>
        <w:spacing w:after="80"/>
      </w:pPr>
      <w:r>
        <w:rPr>
          <w:rFonts w:ascii="Arial" w:cs="Arial" w:eastAsia="Arial" w:hAnsi="Arial"/>
          <w:sz w:val="22"/>
          <w:szCs w:val="22"/>
        </w:rPr>
        <w:t xml:space="preserve">Veolia ne dit pas si son ratio de fin 2026 comptera douze mois de Clean Earth (2,99x) ou sept (3,02x).</w:t>
      </w:r>
    </w:p>
    <w:p>
      <w:pPr>
        <w:pStyle w:val="ListParagraph"/>
        <w:numPr>
          <w:ilvl w:val="0"/>
          <w:numId w:val="4"/>
        </w:numPr>
        <w:spacing w:after="80"/>
      </w:pPr>
      <w:r>
        <w:rPr>
          <w:rFonts w:ascii="Arial" w:cs="Arial" w:eastAsia="Arial" w:hAnsi="Arial"/>
          <w:sz w:val="22"/>
          <w:szCs w:val="22"/>
        </w:rPr>
        <w:t xml:space="preserve">Les coupons des deux souches euro de 2026 (750 et 650 M€) ne figurent pas au tableau p.407 (lignes courantes) : le surcoût de refinancement de 2026 n'est pas chiffré.</w:t>
      </w:r>
    </w:p>
    <w:p>
      <w:pPr>
        <w:pStyle w:val="ListParagraph"/>
        <w:numPr>
          <w:ilvl w:val="0"/>
          <w:numId w:val="4"/>
        </w:numPr>
        <w:spacing w:after="80"/>
      </w:pPr>
      <w:r>
        <w:rPr>
          <w:rFonts w:ascii="Arial" w:cs="Arial" w:eastAsia="Arial" w:hAnsi="Arial"/>
          <w:sz w:val="22"/>
          <w:szCs w:val="22"/>
        </w:rPr>
        <w:t xml:space="preserve">Le change sur la dette en dollars n'est pas modélisé.</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Pourquoi ne pas citer 3,39x au 30 juin ?</w:t>
      </w:r>
    </w:p>
    <w:p>
      <w:pPr>
        <w:spacing w:after="120" w:line="300"/>
      </w:pPr>
      <w:r>
        <w:rPr>
          <w:rFonts w:ascii="Arial" w:cs="Arial" w:eastAsia="Arial" w:hAnsi="Arial"/>
          <w:sz w:val="22"/>
          <w:szCs w:val="22"/>
        </w:rPr>
        <w:t xml:space="preserve">Parce qu'il rapporte toute la dette de Clean Earth à un seul mois de son EBITDA, et une dette de juin, toujours plus haute, à un plafond qui se mesure en décembre. Corrigé des deux, on est à 3,17x.</w:t>
      </w:r>
    </w:p>
    <w:p>
      <w:pPr>
        <w:spacing w:after="120" w:line="300"/>
      </w:pPr>
      <w:r>
        <w:rPr>
          <w:rFonts w:ascii="Arial" w:cs="Arial" w:eastAsia="Arial" w:hAnsi="Arial"/>
          <w:b/>
          <w:bCs/>
          <w:sz w:val="22"/>
          <w:szCs w:val="22"/>
        </w:rPr>
        <w:t xml:space="preserve">Quel est le vrai plafond : 3x ou les agences ?</w:t>
      </w:r>
    </w:p>
    <w:p>
      <w:pPr>
        <w:spacing w:after="120" w:line="300"/>
      </w:pPr>
      <w:r>
        <w:rPr>
          <w:rFonts w:ascii="Arial" w:cs="Arial" w:eastAsia="Arial" w:hAnsi="Arial"/>
          <w:sz w:val="22"/>
          <w:szCs w:val="22"/>
        </w:rPr>
        <w:t xml:space="preserve">Les deux, à des dates différentes. Veolia s'engage à garder BBB / Baa1, et S&amp;P abaisse la note sous 18 % de FFO / dette. Au pic de dette de 2026, ce seuil demande 5,2 Md€ de FFO pour 5,2 Md€ générés en 2025 : c'est 2026 qui est tendu, et c'est pour cela que les cessions sont annoncées dans les deux ans. Fin 2027, avec un FFO qui suit l'EBITDA, le ratio remonte à 20,8 % et c'est le 3x de Veolia qui limite la capacité (Veolia dans le modèle).</w:t>
      </w:r>
    </w:p>
    <w:p>
      <w:pPr>
        <w:spacing w:after="120" w:line="300"/>
      </w:pPr>
      <w:r>
        <w:rPr>
          <w:rFonts w:ascii="Arial" w:cs="Arial" w:eastAsia="Arial" w:hAnsi="Arial"/>
          <w:b/>
          <w:bCs/>
          <w:sz w:val="22"/>
          <w:szCs w:val="22"/>
        </w:rPr>
        <w:t xml:space="preserve">D'où vient l'écart de 5,7 Md€ entre la dette des agences et la dette publiée ?</w:t>
      </w:r>
    </w:p>
    <w:p>
      <w:pPr>
        <w:spacing w:after="120" w:line="300"/>
      </w:pPr>
      <w:r>
        <w:rPr>
          <w:rFonts w:ascii="Arial" w:cs="Arial" w:eastAsia="Arial" w:hAnsi="Arial"/>
          <w:sz w:val="22"/>
          <w:szCs w:val="22"/>
        </w:rPr>
        <w:t xml:space="preserve">De la réconciliation que Moody's publie : la dette brute est la même (29 518,0 M€), Moody's y ajoute pensions, titrisation, retraitements et la moitié des hybrides (2 050,0 M€), puis retient moins de trésorerie (9 475,0 contre 8 021 + 1 952 chez Veolia). Chaque poste est au registre avec sa page.</w:t>
      </w:r>
    </w:p>
    <w:p>
      <w:pPr>
        <w:spacing w:after="120" w:line="300"/>
      </w:pPr>
      <w:r>
        <w:rPr>
          <w:rFonts w:ascii="Arial" w:cs="Arial" w:eastAsia="Arial" w:hAnsi="Arial"/>
          <w:b/>
          <w:bCs/>
          <w:sz w:val="22"/>
          <w:szCs w:val="22"/>
        </w:rPr>
        <w:t xml:space="preserve">Les hybrides sont-ils de la dette ?</w:t>
      </w:r>
    </w:p>
    <w:p>
      <w:pPr>
        <w:spacing w:after="120" w:line="300"/>
      </w:pPr>
      <w:r>
        <w:rPr>
          <w:rFonts w:ascii="Arial" w:cs="Arial" w:eastAsia="Arial" w:hAnsi="Arial"/>
          <w:sz w:val="22"/>
          <w:szCs w:val="22"/>
        </w:rPr>
        <w:t xml:space="preserve">Pas pour Veolia ni en IFRS. Mais ils portent un coupon et une date de rappel : un lecteur prudent en compte une partie, et le plafond de 2027 n'est alors plus tenu (3,06x à 50 %).</w:t>
      </w:r>
    </w:p>
    <w:p>
      <w:pPr>
        <w:spacing w:after="120" w:line="300"/>
      </w:pPr>
      <w:r>
        <w:rPr>
          <w:rFonts w:ascii="Arial" w:cs="Arial" w:eastAsia="Arial" w:hAnsi="Arial"/>
          <w:b/>
          <w:bCs/>
          <w:sz w:val="22"/>
          <w:szCs w:val="22"/>
        </w:rPr>
        <w:t xml:space="preserve">Y a-t-il un mur de refinancement avant 2027 ?</w:t>
      </w:r>
    </w:p>
    <w:p>
      <w:pPr>
        <w:spacing w:after="120" w:line="300"/>
      </w:pPr>
      <w:r>
        <w:rPr>
          <w:rFonts w:ascii="Arial" w:cs="Arial" w:eastAsia="Arial" w:hAnsi="Arial"/>
          <w:sz w:val="22"/>
          <w:szCs w:val="22"/>
        </w:rPr>
        <w:t xml:space="preserve">Non. 9 642 M€ de flux contractuels en 2026, dont 4 933 de billets de trésorerie qui se renouvellent, face à 15 911 M€ de liquidités : couvert 1,65x. Le mur agit sur le FFO, pas sur la dette : environ 74 M€ d'intérêts de plus par an quand les souches à bas coupon de 2027-2028 se refinancent au taux de 2025.</w:t>
      </w:r>
    </w:p>
    <w:p>
      <w:pPr>
        <w:spacing w:after="120" w:line="300"/>
      </w:pPr>
      <w:r>
        <w:rPr>
          <w:rFonts w:ascii="Arial" w:cs="Arial" w:eastAsia="Arial" w:hAnsi="Arial"/>
          <w:b/>
          <w:bCs/>
          <w:sz w:val="22"/>
          <w:szCs w:val="22"/>
        </w:rPr>
        <w:t xml:space="preserve">Les hybrides ont-ils une date ?</w:t>
      </w:r>
    </w:p>
    <w:p>
      <w:pPr>
        <w:spacing w:after="120" w:line="300"/>
      </w:pPr>
      <w:r>
        <w:rPr>
          <w:rFonts w:ascii="Arial" w:cs="Arial" w:eastAsia="Arial" w:hAnsi="Arial"/>
          <w:sz w:val="22"/>
          <w:szCs w:val="22"/>
        </w:rPr>
        <w:t xml:space="preserve">Oui, six (DEU p.429) : 4,1 Md€ en tout, coupon moyen 3,45 %. Une seule tombe avant fin 2027 : 500 M€ à 1,625 % en septembre 2026. La remplacer au coupon de la dernière émission (4,322 %) coûte 13 M€ de coupon par an ; ne pas la remplacer porte le levier fin 2027 à 2,87x. Le vrai sujet n'est pas le levier mais le prix du capital hybride, qui a presque triplé entre 2019 et 2025.</w:t>
      </w:r>
    </w:p>
    <w:p>
      <w:pPr>
        <w:spacing w:after="120" w:line="300"/>
      </w:pPr>
      <w:r>
        <w:rPr>
          <w:rFonts w:ascii="Arial" w:cs="Arial" w:eastAsia="Arial" w:hAnsi="Arial"/>
          <w:b/>
          <w:bCs/>
          <w:sz w:val="22"/>
          <w:szCs w:val="22"/>
        </w:rPr>
        <w:t xml:space="preserve">Où se place Veolia parmi ses pairs ?</w:t>
      </w:r>
    </w:p>
    <w:p>
      <w:pPr>
        <w:spacing w:after="120" w:line="300"/>
      </w:pPr>
      <w:r>
        <w:rPr>
          <w:rFonts w:ascii="Arial" w:cs="Arial" w:eastAsia="Arial" w:hAnsi="Arial"/>
          <w:sz w:val="22"/>
          <w:szCs w:val="22"/>
        </w:rPr>
        <w:t xml:space="preserve">Dans le tableau de Moody's (Exhibit 12, douze mois à juin 2025) : 20,3 % de FFO / dette nette pour Veolia, 20,3 % pour ACEA, 23,3 % pour Hera, tous trois Baa1 ; Suez, « Baa2 Negative », est à 11,4 %. L'écart avec Suez est de 8,9 % ; avec Hera, −3,0 %. Le seuil des « high teens » n'est pas une abstraction : c'est la zone où se trouve déjà le concurrent direct.</w:t>
      </w:r>
    </w:p>
    <w:p>
      <w:pPr>
        <w:spacing w:after="120" w:line="300"/>
      </w:pPr>
      <w:r>
        <w:rPr>
          <w:rFonts w:ascii="Arial" w:cs="Arial" w:eastAsia="Arial" w:hAnsi="Arial"/>
          <w:b/>
          <w:bCs/>
          <w:sz w:val="22"/>
          <w:szCs w:val="22"/>
        </w:rPr>
        <w:t xml:space="preserve">Comment reconstituez-vous le FFO de Moody's, qui ne publie pas sa formule ?</w:t>
      </w:r>
    </w:p>
    <w:p>
      <w:pPr>
        <w:spacing w:after="120" w:line="300"/>
      </w:pPr>
      <w:r>
        <w:rPr>
          <w:rFonts w:ascii="Arial" w:cs="Arial" w:eastAsia="Arial" w:hAnsi="Arial"/>
          <w:sz w:val="22"/>
          <w:szCs w:val="22"/>
        </w:rPr>
        <w:t xml:space="preserve">Depuis le tableau de flux du DEU (p.362-363) : capacité d'autofinancement avant BFR, moins impôts et intérêts payés, plus remboursements d'actifs financiers opérationnels et dividendes reçus : 5 157 M€ contre 5 160 publiés, écart −0,1 %. Même lecture en 2024 à moins de 2 % près : c'est un contrôle bloquant du classeur.</w:t>
      </w:r>
    </w:p>
    <w:p>
      <w:pPr>
        <w:spacing w:after="120" w:line="300"/>
      </w:pPr>
      <w:r>
        <w:rPr>
          <w:rFonts w:ascii="Arial" w:cs="Arial" w:eastAsia="Arial" w:hAnsi="Arial"/>
          <w:b/>
          <w:bCs/>
          <w:sz w:val="22"/>
          <w:szCs w:val="22"/>
        </w:rPr>
        <w:t xml:space="preserve">Pourquoi votre fin 2026 est-il crédible ?</w:t>
      </w:r>
    </w:p>
    <w:p>
      <w:pPr>
        <w:spacing w:after="120" w:line="300"/>
      </w:pPr>
      <w:r>
        <w:rPr>
          <w:rFonts w:ascii="Arial" w:cs="Arial" w:eastAsia="Arial" w:hAnsi="Arial"/>
          <w:sz w:val="22"/>
          <w:szCs w:val="22"/>
        </w:rPr>
        <w:t xml:space="preserve">Il n'utilise que la guidance de croissance (+5 à +6 %), le second semestre 2025 reproduit et la moitié des cessions signées : il tombe à 3,02x, ce que Veolia annonce.</w:t>
      </w:r>
    </w:p>
    <w:p>
      <w:r>
        <w:br w:type="page"/>
      </w:r>
    </w:p>
    <w:p>
      <w:pPr>
        <w:pStyle w:val="Heading1"/>
        <w:spacing w:after="120" w:before="240"/>
      </w:pPr>
      <w:r>
        <w:rPr>
          <w:rFonts w:ascii="Arial" w:cs="Arial" w:eastAsia="Arial" w:hAnsi="Arial"/>
        </w:rPr>
        <w:t xml:space="preserve">Rôle 3 — Capacité et sensibilité</w:t>
      </w:r>
    </w:p>
    <w:p>
      <w:pPr>
        <w:spacing w:after="120" w:line="300"/>
      </w:pPr>
      <w:r>
        <w:rPr>
          <w:rFonts w:ascii="Arial" w:cs="Arial" w:eastAsia="Arial" w:hAnsi="Arial"/>
          <w:i/>
          <w:iCs/>
          <w:color w:val="555555"/>
          <w:sz w:val="22"/>
          <w:szCs w:val="22"/>
        </w:rPr>
        <w:t xml:space="preserve">Le cash-flow libre, le programme de cessions et son calendrier, et ce qui fait le plus bouger la réponse.</w:t>
      </w:r>
    </w:p>
    <w:p>
      <w:pPr>
        <w:spacing w:after="120" w:line="300"/>
      </w:pPr>
      <w:r>
        <w:rPr>
          <w:rFonts w:ascii="Arial" w:cs="Arial" w:eastAsia="Arial" w:hAnsi="Arial"/>
          <w:i/>
          <w:iCs/>
          <w:color w:val="555555"/>
          <w:sz w:val="22"/>
          <w:szCs w:val="22"/>
        </w:rPr>
        <w:t xml:space="preserve">Section signée par : None</w:t>
      </w:r>
    </w:p>
    <w:p>
      <w:pPr>
        <w:pStyle w:val="Heading2"/>
        <w:spacing w:after="120" w:before="240"/>
      </w:pPr>
      <w:r>
        <w:rPr>
          <w:rFonts w:ascii="Arial" w:cs="Arial" w:eastAsia="Arial" w:hAnsi="Arial"/>
          <w:b w:val="false"/>
          <w:bCs w:val="false"/>
          <w:i w:val="false"/>
          <w:iCs w:val="false"/>
        </w:rPr>
        <w:t xml:space="preserve">Réponse</w:t>
      </w:r>
    </w:p>
    <w:p>
      <w:pPr>
        <w:shd w:fill="FFF2A8" w:color="auto" w:val="clear"/>
        <w:spacing w:after="160" w:before="160"/>
      </w:pPr>
      <w:r>
        <w:rPr>
          <w:rFonts w:ascii="Arial" w:cs="Arial" w:eastAsia="Arial" w:hAnsi="Arial"/>
          <w:i/>
          <w:iCs/>
          <w:sz w:val="22"/>
          <w:szCs w:val="22"/>
        </w:rPr>
        <w:t xml:space="preserve">[À rédiger] En un paragraphe : la réponse du rôle, avec ses chiffres clés cités par jeton.</w:t>
      </w:r>
    </w:p>
    <w:p>
      <w:pPr>
        <w:pStyle w:val="Heading2"/>
        <w:spacing w:after="120" w:before="240"/>
      </w:pPr>
      <w:r>
        <w:rPr>
          <w:rFonts w:ascii="Arial" w:cs="Arial" w:eastAsia="Arial" w:hAnsi="Arial"/>
          <w:b w:val="false"/>
          <w:bCs w:val="false"/>
          <w:i w:val="false"/>
          <w:iCs w:val="false"/>
        </w:rPr>
        <w:t xml:space="preserve">La trajectoire 2026-2027</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Ce qui bouge le plus la marge</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Le programme de cessions : actifs, rythme, calendrier</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L'efficacité, hypothèse la plus fragile</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Ce que nous n'avons pas pu établir</w:t>
      </w:r>
    </w:p>
    <w:p>
      <w:pPr>
        <w:pStyle w:val="ListParagraph"/>
        <w:numPr>
          <w:ilvl w:val="0"/>
          <w:numId w:val="4"/>
        </w:numPr>
        <w:spacing w:after="80"/>
      </w:pPr>
      <w:r>
        <w:rPr>
          <w:rFonts w:ascii="Arial" w:cs="Arial" w:eastAsia="Arial" w:hAnsi="Arial"/>
          <w:b w:val="false"/>
          <w:bCs w:val="false"/>
          <w:i w:val="false"/>
          <w:iCs w:val="false"/>
          <w:sz w:val="22"/>
          <w:szCs w:val="22"/>
        </w:rPr>
        <w:t xml:space="preserve">[À rédiger]</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1 156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1 178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S1</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S1</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du S2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1 629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 S1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Variation du BFR, S1</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−1 238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nets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3 855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 versé aux actionnaires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1 099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Dividendes versés, minoritaires compris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−1 394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Programme de cessions (au moins)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29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réalisées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0,1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Signatures attendues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Calendrier central S2 2026 / 2027 / S1 2028</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0,25 / 0,95 / 0,70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hypothèses s26 et s27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croissance organique EBITDA, bas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haut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2027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1 327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conversion moyenne 2024-2025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Dividendes 2027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1 482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+8 %, minoritaires constants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centrale fin 2027</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1 571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défavorable −535 · favorable 3 491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cédé par le programme au multiple central</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13 % de l'EBITDA des déchets solides, 4 % des strongholds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solides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1 566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5 383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en France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8 547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au Maroc (après Lydec)</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des pays de moins de 500 M€</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7 207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réalisées 2022 → S1 2026 (deals.csv)</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1 585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14 opérations, 113 M€ en moyenne, la plus grande 580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Rythme passé de cessions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374 M EUR / 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 Md€ demandent 5,3 ans à ce rythme, ou 18 opérations moyennes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4"/>
        </w:numPr>
        <w:spacing w:after="80"/>
      </w:pPr>
      <w:r>
        <w:rPr>
          <w:rFonts w:ascii="Arial" w:cs="Arial" w:eastAsia="Arial" w:hAnsi="Arial"/>
          <w:sz w:val="22"/>
          <w:szCs w:val="22"/>
        </w:rPr>
        <w:t xml:space="preserve">Aucun multiple de cession n'est publié : on suppose 10x, entre 8x et 12x. Les produits de cession passés (deals.csv) sont des encaissements, pas des valeurs d'entreprise : ils disent le rythme, pas le prix.</w:t>
      </w:r>
    </w:p>
    <w:p>
      <w:pPr>
        <w:pStyle w:val="ListParagraph"/>
        <w:numPr>
          <w:ilvl w:val="0"/>
          <w:numId w:val="4"/>
        </w:numPr>
        <w:spacing w:after="80"/>
      </w:pPr>
      <w:r>
        <w:rPr>
          <w:rFonts w:ascii="Arial" w:cs="Arial" w:eastAsia="Arial" w:hAnsi="Arial"/>
          <w:sz w:val="22"/>
          <w:szCs w:val="22"/>
        </w:rPr>
        <w:t xml:space="preserve">Aucun dividende n'est supposé versé au second semestre ; le change n'est pas prolongé.</w:t>
      </w:r>
    </w:p>
    <w:p>
      <w:pPr>
        <w:pStyle w:val="ListParagraph"/>
        <w:numPr>
          <w:ilvl w:val="0"/>
          <w:numId w:val="4"/>
        </w:numPr>
        <w:spacing w:after="80"/>
      </w:pPr>
      <w:r>
        <w:rPr>
          <w:rFonts w:ascii="Arial" w:cs="Arial" w:eastAsia="Arial" w:hAnsi="Arial"/>
          <w:sz w:val="22"/>
          <w:szCs w:val="22"/>
        </w:rPr>
        <w:t xml:space="preserve">Le pont de dette 2025 du communiqué laisse 398 M€ de flux non détaillés (dont au moins 244 M€ de dividendes aux minoritaires).</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Que peut vendre Veolia, concrètement ?</w:t>
      </w:r>
    </w:p>
    <w:p>
      <w:pPr>
        <w:spacing w:after="120" w:line="300"/>
      </w:pPr>
      <w:r>
        <w:rPr>
          <w:rFonts w:ascii="Arial" w:cs="Arial" w:eastAsia="Arial" w:hAnsi="Arial"/>
          <w:sz w:val="22"/>
          <w:szCs w:val="22"/>
        </w:rPr>
        <w:t xml:space="preserve">Ce que GreenUp appelle les activités matures (p.64) : construction, facility management, collecte. Le programme de 2 Md€ retire 200 M€ d'EBITDA au multiple central, soit 13 % de l'EBITDA des déchets solides (1 566 M€) et 2,8 % du chiffre d'affaires du groupe, réparti sur 17 pays de plus de 500 M€ (DEU p.375). Les actifs existent ; la question est le rythme : depuis 2022, 14 cessions pour 1 585 M€, 113 M€ en moyenne — 2 Md€ en deux ans, c'est 5,3 années du rythme passé.</w:t>
      </w:r>
    </w:p>
    <w:p>
      <w:pPr>
        <w:spacing w:after="120" w:line="300"/>
      </w:pPr>
      <w:r>
        <w:rPr>
          <w:rFonts w:ascii="Arial" w:cs="Arial" w:eastAsia="Arial" w:hAnsi="Arial"/>
          <w:b/>
          <w:bCs/>
          <w:sz w:val="22"/>
          <w:szCs w:val="22"/>
        </w:rPr>
        <w:t xml:space="preserve">Quelle est l'hypothèse la plus fragile du modèle ?</w:t>
      </w:r>
    </w:p>
    <w:p>
      <w:pPr>
        <w:spacing w:after="120" w:line="300"/>
      </w:pPr>
      <w:r>
        <w:rPr>
          <w:rFonts w:ascii="Arial" w:cs="Arial" w:eastAsia="Arial" w:hAnsi="Arial"/>
          <w:sz w:val="22"/>
          <w:szCs w:val="22"/>
        </w:rPr>
        <w:t xml:space="preserve">La croissance organique de l'EBITDA (g26, g27), parce qu'elle est faite d'efficacité : 90 % de l'organique 2026 du modèle (388 M€), c'est le programme de 350 M€ par an de GreenUp. Un programme de coûts se tient ou ne se tient pas ; la sensibilité de Trajectoire (g26 bas, g27 bas) en donne la version douce, l'onglet Pont EBITDA §D la version dure : −529 M€ de marge si rien n'est livré.</w:t>
      </w:r>
    </w:p>
    <w:p>
      <w:pPr>
        <w:spacing w:after="120" w:line="300"/>
      </w:pPr>
      <w:r>
        <w:rPr>
          <w:rFonts w:ascii="Arial" w:cs="Arial" w:eastAsia="Arial" w:hAnsi="Arial"/>
          <w:b/>
          <w:bCs/>
          <w:sz w:val="22"/>
          <w:szCs w:val="22"/>
        </w:rPr>
        <w:t xml:space="preserve">Pourquoi croire la guidance ?</w:t>
      </w:r>
    </w:p>
    <w:p>
      <w:pPr>
        <w:spacing w:after="120" w:line="300"/>
      </w:pPr>
      <w:r>
        <w:rPr>
          <w:rFonts w:ascii="Arial" w:cs="Arial" w:eastAsia="Arial" w:hAnsi="Arial"/>
          <w:sz w:val="22"/>
          <w:szCs w:val="22"/>
        </w:rPr>
        <w:t xml:space="preserve">Parce que Veolia a tenu ses objectifs financiers depuis 2020 : 8 / 8 dans notre tableau (Impact 2023 : 6,5 Md€ d'EBITDA pour 4,7 à 4,9 visés ; guidance 2025 : +5 à +6 % d'EBITDA organique, réalisé +6,3 %). Les objectifs manqués sont non financiers (465 kt de plastiques pour 610 visés, mixité). C'est ce qui donne au scénario central plus de poids qu'au défavorable — sans effacer la dépendance à l'efficacité (Pont EBITDA §D).</w:t>
      </w:r>
    </w:p>
    <w:p>
      <w:pPr>
        <w:spacing w:after="120" w:line="300"/>
      </w:pPr>
      <w:r>
        <w:rPr>
          <w:rFonts w:ascii="Arial" w:cs="Arial" w:eastAsia="Arial" w:hAnsi="Arial"/>
          <w:b/>
          <w:bCs/>
          <w:sz w:val="22"/>
          <w:szCs w:val="22"/>
        </w:rPr>
        <w:t xml:space="preserve">Et l'énergie, le dollar, les taux ?</w:t>
      </w:r>
    </w:p>
    <w:p>
      <w:pPr>
        <w:spacing w:after="120" w:line="300"/>
      </w:pPr>
      <w:r>
        <w:rPr>
          <w:rFonts w:ascii="Arial" w:cs="Arial" w:eastAsia="Arial" w:hAnsi="Arial"/>
          <w:sz w:val="22"/>
          <w:szCs w:val="22"/>
        </w:rPr>
        <w:t xml:space="preserve">Des entrées externes que le DEU chiffre : l'énergie et les recyclats ont coûté −30 M€ d'EBITDA en 2025 et −60 M€ au seul S1 2026 — une année comme ce semestre coûterait 360 M€ de marge sous 3x. La dette en dollars (2 455 M€) ajoute 246 M€ de dette si le dollar monte de 10 % ; la position nette à taux variable (−2 992 M€) coûte 30 M€ par point de taux. Aucune ne pèse autant que les cessions ou l'efficacité, mais elles s'additionnent (Sensibilité, bloc Macro).</w:t>
      </w:r>
    </w:p>
    <w:p>
      <w:pPr>
        <w:spacing w:after="120" w:line="300"/>
      </w:pPr>
      <w:r>
        <w:rPr>
          <w:rFonts w:ascii="Arial" w:cs="Arial" w:eastAsia="Arial" w:hAnsi="Arial"/>
          <w:b/>
          <w:bCs/>
          <w:sz w:val="22"/>
          <w:szCs w:val="22"/>
        </w:rPr>
        <w:t xml:space="preserve">Votre fourchette est-elle une probabilité ?</w:t>
      </w:r>
    </w:p>
    <w:p>
      <w:pPr>
        <w:spacing w:after="120" w:line="300"/>
      </w:pPr>
      <w:r>
        <w:rPr>
          <w:rFonts w:ascii="Arial" w:cs="Arial" w:eastAsia="Arial" w:hAnsi="Arial"/>
          <w:sz w:val="22"/>
          <w:szCs w:val="22"/>
        </w:rPr>
        <w:t xml:space="preserve">Oui depuis l'onglet Distribution : chaque hypothèse est tirée dans une loi triangulaire entre ses bornes (le sommet à la base), un facteur « conjoncture » fait bouger ensemble croissance, cash-flow, cessions et multiples (poids 0,4, hypothèse du groupe). Sur 1 000 futurs : 100 % tiennent les deux plafonds, 0 % passent sous le seuil S&amp;P fin 2026, 40 % atteignent 8 Md€ d'EBITDA. Les tirages sont fixés par une graine : le classeur redonne les mêmes nombres, et le simulateur web, qui lit les mêmes formules, aussi.</w:t>
      </w:r>
    </w:p>
    <w:p>
      <w:pPr>
        <w:spacing w:after="120" w:line="300"/>
      </w:pPr>
      <w:r>
        <w:rPr>
          <w:rFonts w:ascii="Arial" w:cs="Arial" w:eastAsia="Arial" w:hAnsi="Arial"/>
          <w:b/>
          <w:bCs/>
          <w:sz w:val="22"/>
          <w:szCs w:val="22"/>
        </w:rPr>
        <w:t xml:space="preserve">Et si les cessions glissent en 2028 ?</w:t>
      </w:r>
    </w:p>
    <w:p>
      <w:pPr>
        <w:spacing w:after="120" w:line="300"/>
      </w:pPr>
      <w:r>
        <w:rPr>
          <w:rFonts w:ascii="Arial" w:cs="Arial" w:eastAsia="Arial" w:hAnsi="Arial"/>
          <w:sz w:val="22"/>
          <w:szCs w:val="22"/>
        </w:rPr>
        <w:t xml:space="preserve">Sans rien encaisser du reste du programme en 2027, la marge tombe de 1 571 à 1 092 M€. C'est le premier facteur.</w:t>
      </w:r>
    </w:p>
    <w:p>
      <w:pPr>
        <w:spacing w:after="120" w:line="300"/>
      </w:pPr>
      <w:r>
        <w:rPr>
          <w:rFonts w:ascii="Arial" w:cs="Arial" w:eastAsia="Arial" w:hAnsi="Arial"/>
          <w:b/>
          <w:bCs/>
          <w:sz w:val="22"/>
          <w:szCs w:val="22"/>
        </w:rPr>
        <w:t xml:space="preserve">Pourquoi ne pas couper le dividende ?</w:t>
      </w:r>
    </w:p>
    <w:p>
      <w:pPr>
        <w:spacing w:after="120" w:line="300"/>
      </w:pPr>
      <w:r>
        <w:rPr>
          <w:rFonts w:ascii="Arial" w:cs="Arial" w:eastAsia="Arial" w:hAnsi="Arial"/>
          <w:sz w:val="22"/>
          <w:szCs w:val="22"/>
        </w:rPr>
        <w:t xml:space="preserve">GreenUp s'engage sur un dividende qui suit le bénéfice par action (p.66). Le modèle le traite comme un engagement ; chaque 100 M€ économisés vaudrait 100 M€ de marge.</w:t>
      </w:r>
    </w:p>
    <w:p>
      <w:pPr>
        <w:spacing w:after="120" w:line="300"/>
      </w:pPr>
      <w:r>
        <w:rPr>
          <w:rFonts w:ascii="Arial" w:cs="Arial" w:eastAsia="Arial" w:hAnsi="Arial"/>
          <w:b/>
          <w:bCs/>
          <w:sz w:val="22"/>
          <w:szCs w:val="22"/>
        </w:rPr>
        <w:t xml:space="preserve">Pourquoi le multiple de cession compte-t-il ?</w:t>
      </w:r>
    </w:p>
    <w:p>
      <w:pPr>
        <w:spacing w:after="120" w:line="300"/>
      </w:pPr>
      <w:r>
        <w:rPr>
          <w:rFonts w:ascii="Arial" w:cs="Arial" w:eastAsia="Arial" w:hAnsi="Arial"/>
          <w:sz w:val="22"/>
          <w:szCs w:val="22"/>
        </w:rPr>
        <w:t xml:space="preserve">Chaque euro encaissé réduit la dette d'un euro mais retire 1/multiple d'EBITDA, soit trois fois plus de capacité : à 10x, 100 M€ de cessions ne libèrent que 70 M€ de marge.</w:t>
      </w:r>
    </w:p>
    <w:p>
      <w:r>
        <w:br w:type="page"/>
      </w:r>
    </w:p>
    <w:p>
      <w:pPr>
        <w:pStyle w:val="Heading1"/>
        <w:spacing w:after="120" w:before="240"/>
      </w:pPr>
      <w:r>
        <w:rPr>
          <w:rFonts w:ascii="Arial" w:cs="Arial" w:eastAsia="Arial" w:hAnsi="Arial"/>
        </w:rPr>
        <w:t xml:space="preserve">Rôle 4 — L'écart et les comparables</w:t>
      </w:r>
    </w:p>
    <w:p>
      <w:pPr>
        <w:spacing w:after="120" w:line="300"/>
      </w:pPr>
      <w:r>
        <w:rPr>
          <w:rFonts w:ascii="Arial" w:cs="Arial" w:eastAsia="Arial" w:hAnsi="Arial"/>
          <w:i/>
          <w:iCs/>
          <w:color w:val="555555"/>
          <w:sz w:val="22"/>
          <w:szCs w:val="22"/>
        </w:rPr>
        <w:t xml:space="preserve">Où se situe le booster face à 2027, et qui est réellement comparable.</w:t>
      </w:r>
    </w:p>
    <w:p>
      <w:pPr>
        <w:spacing w:after="120" w:line="300"/>
      </w:pPr>
      <w:r>
        <w:rPr>
          <w:rFonts w:ascii="Arial" w:cs="Arial" w:eastAsia="Arial" w:hAnsi="Arial"/>
          <w:i/>
          <w:iCs/>
          <w:color w:val="555555"/>
          <w:sz w:val="22"/>
          <w:szCs w:val="22"/>
        </w:rPr>
        <w:t xml:space="preserve">Section signée par : None</w:t>
      </w:r>
    </w:p>
    <w:p>
      <w:pPr>
        <w:pStyle w:val="Heading2"/>
        <w:spacing w:after="120" w:before="240"/>
      </w:pPr>
      <w:r>
        <w:rPr>
          <w:rFonts w:ascii="Arial" w:cs="Arial" w:eastAsia="Arial" w:hAnsi="Arial"/>
          <w:b w:val="false"/>
          <w:bCs w:val="false"/>
          <w:i w:val="false"/>
          <w:iCs w:val="false"/>
        </w:rPr>
        <w:t xml:space="preserve">Réponse</w:t>
      </w:r>
    </w:p>
    <w:p>
      <w:pPr>
        <w:shd w:fill="FFF2A8" w:color="auto" w:val="clear"/>
        <w:spacing w:after="160" w:before="160"/>
      </w:pPr>
      <w:r>
        <w:rPr>
          <w:rFonts w:ascii="Arial" w:cs="Arial" w:eastAsia="Arial" w:hAnsi="Arial"/>
          <w:i/>
          <w:iCs/>
          <w:sz w:val="22"/>
          <w:szCs w:val="22"/>
        </w:rPr>
        <w:t xml:space="preserve">[À rédiger] En un paragraphe : la réponse du rôle, avec ses chiffres clés cités par jeton.</w:t>
      </w:r>
    </w:p>
    <w:p>
      <w:pPr>
        <w:pStyle w:val="Heading2"/>
        <w:spacing w:after="120" w:before="240"/>
      </w:pPr>
      <w:r>
        <w:rPr>
          <w:rFonts w:ascii="Arial" w:cs="Arial" w:eastAsia="Arial" w:hAnsi="Arial"/>
          <w:b w:val="false"/>
          <w:bCs w:val="false"/>
          <w:i w:val="false"/>
          <w:iCs w:val="false"/>
        </w:rPr>
        <w:t xml:space="preserve">D'où viennent les 8 Md€ : un plan d'efficacité</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Le booster déchets dangereux face à 9 et 10 Mt</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Clean Harbors et Clean Earth vus du vendeur</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Ce que nous n'avons pas pu établir</w:t>
      </w:r>
    </w:p>
    <w:p>
      <w:pPr>
        <w:pStyle w:val="ListParagraph"/>
        <w:numPr>
          <w:ilvl w:val="0"/>
          <w:numId w:val="4"/>
        </w:numPr>
        <w:spacing w:after="80"/>
      </w:pPr>
      <w:r>
        <w:rPr>
          <w:rFonts w:ascii="Arial" w:cs="Arial" w:eastAsia="Arial" w:hAnsi="Arial"/>
          <w:b w:val="false"/>
          <w:bCs w:val="false"/>
          <w:i w:val="false"/>
          <w:iCs w:val="false"/>
          <w:sz w:val="22"/>
          <w:szCs w:val="22"/>
        </w:rPr>
        <w:t xml:space="preserve">[À rédiger]</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traités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9 196 kt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traités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9 181 kt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2027 actuel</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Mt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2027 initial</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Capacité en construction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 construction</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430 kt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 pro forma avec Clean Earth</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pro forma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0,9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pro forma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Ambition EBITDA, par an, plus de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2027 si +10 %/an depuis le pro forma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1,09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illustratif</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 Déchets dangereux Europe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1 189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croissance organique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−0,2 %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Amériques-Asie-Afrique, S1/S1</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10,9 %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publié, périmètre courant</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chiffre d'affaires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1 030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marge 2026E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19,4 %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 CA</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organique Water Technologies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14,1 %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organique Amériques-Asie-Afrique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organique Europe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chiffre d'affaires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13 191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EBITDA de base 2023</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efficacité par an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 l'écart 2023 → 2027 couverte par l'efficacité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 × 350 / (8 000 − 6 500)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Gains d'efficacité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Gains d'efficacité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en M EUR sur la base publiée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428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approximation : base organique non publiée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cumulées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cumulées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Reste hors efficacité et synergies,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 efficacité − synergies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2026 du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388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l'efficacité promise en représente 90 %</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sous 3x fin 2027 sans efficacité en 2026-2027</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−529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3,07x ; à mi-chemin 521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tuck-ins intégrés en deux ans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 tuck-ins</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valeur d'entreprise des tuck-ins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multiple moyen des tuck-ins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1 668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de l'EBITDA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2027 si chaque segment garde son rythme de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8 094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onglet Segments §C</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6 030,8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EBITDA ajusté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1 169 939 k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38</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marge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19,4 %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38</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CA du segment Clean Earth</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973,9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résultat opérationnel Clean Earth</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70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EBITDA 2025 reconstitué (RO + D&amp;A)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155 M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10-K p.70 + p.284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marge 2025 reconstituée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15,9 %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4"/>
        </w:numPr>
        <w:spacing w:after="80"/>
      </w:pPr>
      <w:r>
        <w:rPr>
          <w:rFonts w:ascii="Arial" w:cs="Arial" w:eastAsia="Arial" w:hAnsi="Arial"/>
          <w:sz w:val="22"/>
          <w:szCs w:val="22"/>
        </w:rPr>
        <w:t xml:space="preserve">Les comptes de Clean Harbors et d'Enviri ne se téléchargent pas depuis le serveur (refus 403) : à verser à la main.</w:t>
      </w:r>
    </w:p>
    <w:p>
      <w:pPr>
        <w:pStyle w:val="ListParagraph"/>
        <w:numPr>
          <w:ilvl w:val="0"/>
          <w:numId w:val="4"/>
        </w:numPr>
        <w:spacing w:after="80"/>
      </w:pPr>
      <w:r>
        <w:rPr>
          <w:rFonts w:ascii="Arial" w:cs="Arial" w:eastAsia="Arial" w:hAnsi="Arial"/>
          <w:sz w:val="22"/>
          <w:szCs w:val="22"/>
        </w:rPr>
        <w:t xml:space="preserve">La base organique 2024 (périmètre et change constants) n'est pas publiée : les 428 M€ de croissance organique 2025 sont calculés sur l'EBITDA 2024 publié, à quelques millions près.</w:t>
      </w:r>
    </w:p>
    <w:p>
      <w:pPr>
        <w:pStyle w:val="ListParagraph"/>
        <w:numPr>
          <w:ilvl w:val="0"/>
          <w:numId w:val="4"/>
        </w:numPr>
        <w:spacing w:after="80"/>
      </w:pPr>
      <w:r>
        <w:rPr>
          <w:rFonts w:ascii="Arial" w:cs="Arial" w:eastAsia="Arial" w:hAnsi="Arial"/>
          <w:sz w:val="22"/>
          <w:szCs w:val="22"/>
        </w:rPr>
        <w:t xml:space="preserve">Le multiple des tuck-ins espagnols est imprimé « c.7.4x » (présentation 2025, p.19) : l'audit le signale hors page tant qu'un relecteur ne l'a pas confirmé.</w:t>
      </w:r>
    </w:p>
    <w:p>
      <w:pPr>
        <w:pStyle w:val="ListParagraph"/>
        <w:numPr>
          <w:ilvl w:val="0"/>
          <w:numId w:val="4"/>
        </w:numPr>
        <w:spacing w:after="80"/>
      </w:pPr>
      <w:r>
        <w:rPr>
          <w:rFonts w:ascii="Arial" w:cs="Arial" w:eastAsia="Arial" w:hAnsi="Arial"/>
          <w:sz w:val="22"/>
          <w:szCs w:val="22"/>
        </w:rPr>
        <w:t xml:space="preserve">Aucune valeur de marché des pairs (capitalisation, VE) n'est dans la dataroom.</w:t>
      </w:r>
    </w:p>
    <w:p>
      <w:pPr>
        <w:pStyle w:val="ListParagraph"/>
        <w:numPr>
          <w:ilvl w:val="0"/>
          <w:numId w:val="4"/>
        </w:numPr>
        <w:spacing w:after="80"/>
      </w:pPr>
      <w:r>
        <w:rPr>
          <w:rFonts w:ascii="Arial" w:cs="Arial" w:eastAsia="Arial" w:hAnsi="Arial"/>
          <w:sz w:val="22"/>
          <w:szCs w:val="22"/>
        </w:rPr>
        <w:t xml:space="preserve">L'EBITDA déchets dangereux de Veolia seul en 2024, base de l'ambition de +10 %, n'est pas publié.</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D'où viennent exactement les 8 Md€ ?</w:t>
      </w:r>
    </w:p>
    <w:p>
      <w:pPr>
        <w:spacing w:after="120" w:line="300"/>
      </w:pPr>
      <w:r>
        <w:rPr>
          <w:rFonts w:ascii="Arial" w:cs="Arial" w:eastAsia="Arial" w:hAnsi="Arial"/>
          <w:sz w:val="22"/>
          <w:szCs w:val="22"/>
        </w:rPr>
        <w:t xml:space="preserve">De l'efficacité d'abord. GreenUp promet 350 M€ de gains par an : sur quatre ans, 93 % de l'écart entre 6,5 Md€ (2023) et 8 Md€. 2025 le confirme : 399 M€ d'efficacité pour ~428 M€ de croissance organique de l'EBITDA ; avec les 99 M€ de synergies Suez supplémentaires, les deux programmes dépassent la croissance organique. Le reste (volumes, prix, énergie) ne couvre pas l'inflation des coûts.</w:t>
      </w:r>
    </w:p>
    <w:p>
      <w:pPr>
        <w:spacing w:after="120" w:line="300"/>
      </w:pPr>
      <w:r>
        <w:rPr>
          <w:rFonts w:ascii="Arial" w:cs="Arial" w:eastAsia="Arial" w:hAnsi="Arial"/>
          <w:b/>
          <w:bCs/>
          <w:sz w:val="22"/>
          <w:szCs w:val="22"/>
        </w:rPr>
        <w:t xml:space="preserve">Et si l'efficacité n'est pas livrée en 2026-2027 ?</w:t>
      </w:r>
    </w:p>
    <w:p>
      <w:pPr>
        <w:spacing w:after="120" w:line="300"/>
      </w:pPr>
      <w:r>
        <w:rPr>
          <w:rFonts w:ascii="Arial" w:cs="Arial" w:eastAsia="Arial" w:hAnsi="Arial"/>
          <w:sz w:val="22"/>
          <w:szCs w:val="22"/>
        </w:rPr>
        <w:t xml:space="preserve">Chaque euro d'efficacité manquant retire trois euros de capacité d'endettement et aucun cash-flow ne le compense. Sans aucun gain en 2026-2027, l'EBITDA 2027 perd 700 M€, le levier remonte à 3,07x et la marge sous 3x devient −529 M€. C'est la question à poser à Veolia : les 350 M€ par an sont-ils sécurisés, et par quoi ?</w:t>
      </w:r>
    </w:p>
    <w:p>
      <w:pPr>
        <w:spacing w:after="120" w:line="300"/>
      </w:pPr>
      <w:r>
        <w:rPr>
          <w:rFonts w:ascii="Arial" w:cs="Arial" w:eastAsia="Arial" w:hAnsi="Arial"/>
          <w:b/>
          <w:bCs/>
          <w:sz w:val="22"/>
          <w:szCs w:val="22"/>
        </w:rPr>
        <w:t xml:space="preserve">Le booster est-il en retard ?</w:t>
      </w:r>
    </w:p>
    <w:p>
      <w:pPr>
        <w:spacing w:after="120" w:line="300"/>
      </w:pPr>
      <w:r>
        <w:rPr>
          <w:rFonts w:ascii="Arial" w:cs="Arial" w:eastAsia="Arial" w:hAnsi="Arial"/>
          <w:sz w:val="22"/>
          <w:szCs w:val="22"/>
        </w:rPr>
        <w:t xml:space="preserve">En volume, sur l'objectif initial, oui ; sur l'objectif révisé, non. En valeur, il n'est dans les clous que grâce à Clean Earth.</w:t>
      </w:r>
    </w:p>
    <w:p>
      <w:pPr>
        <w:spacing w:after="120" w:line="300"/>
      </w:pPr>
      <w:r>
        <w:rPr>
          <w:rFonts w:ascii="Arial" w:cs="Arial" w:eastAsia="Arial" w:hAnsi="Arial"/>
          <w:b/>
          <w:bCs/>
          <w:sz w:val="22"/>
          <w:szCs w:val="22"/>
        </w:rPr>
        <w:t xml:space="preserve">Pourquoi Clean Harbors est-il le bon comparable ?</w:t>
      </w:r>
    </w:p>
    <w:p>
      <w:pPr>
        <w:spacing w:after="120" w:line="300"/>
      </w:pPr>
      <w:r>
        <w:rPr>
          <w:rFonts w:ascii="Arial" w:cs="Arial" w:eastAsia="Arial" w:hAnsi="Arial"/>
          <w:sz w:val="22"/>
          <w:szCs w:val="22"/>
        </w:rPr>
        <w:t xml:space="preserve">Même métier aux États-Unis, là où Clean Earth opère : 6 030,8 M$ de chiffre d'affaires, marge 19,4 %, comptes 10-K audités. Mais son EBITDA est « ajusté » selon sa définition, et il porte ses propres passifs environnementaux : comparer les marges demande la même base.</w:t>
      </w:r>
    </w:p>
    <w:p>
      <w:pPr>
        <w:spacing w:after="120" w:line="300"/>
      </w:pPr>
      <w:r>
        <w:rPr>
          <w:rFonts w:ascii="Arial" w:cs="Arial" w:eastAsia="Arial" w:hAnsi="Arial"/>
          <w:b/>
          <w:bCs/>
          <w:sz w:val="22"/>
          <w:szCs w:val="22"/>
        </w:rPr>
        <w:t xml:space="preserve">L'objectif de 9 Mt est-il une révision à la baisse ?</w:t>
      </w:r>
    </w:p>
    <w:p>
      <w:pPr>
        <w:spacing w:after="120" w:line="300"/>
      </w:pPr>
      <w:r>
        <w:rPr>
          <w:rFonts w:ascii="Arial" w:cs="Arial" w:eastAsia="Arial" w:hAnsi="Arial"/>
          <w:sz w:val="22"/>
          <w:szCs w:val="22"/>
        </w:rPr>
        <w:t xml:space="preserve">Le chiffre baisse et le libellé perd « et polluants ». Le DEU ne l'explique pas : c'est une question à poser, pas à trancher.</w:t>
      </w:r>
    </w:p>
    <w:p>
      <w:r>
        <w:br w:type="page"/>
      </w:r>
    </w:p>
    <w:p>
      <w:pPr>
        <w:pStyle w:val="Heading1"/>
        <w:spacing w:after="120" w:before="240"/>
      </w:pPr>
      <w:r>
        <w:rPr>
          <w:rFonts w:ascii="Arial" w:cs="Arial" w:eastAsia="Arial" w:hAnsi="Arial"/>
        </w:rPr>
        <w:t xml:space="preserve">Rôle 5 — Le coût ESG</w:t>
      </w:r>
    </w:p>
    <w:p>
      <w:pPr>
        <w:spacing w:after="120" w:line="300"/>
      </w:pPr>
      <w:r>
        <w:rPr>
          <w:rFonts w:ascii="Arial" w:cs="Arial" w:eastAsia="Arial" w:hAnsi="Arial"/>
          <w:i/>
          <w:iCs/>
          <w:color w:val="555555"/>
          <w:sz w:val="22"/>
          <w:szCs w:val="22"/>
        </w:rPr>
        <w:t xml:space="preserve">Ce qu'une acquisition ajoute en passif et en exposition.</w:t>
      </w:r>
    </w:p>
    <w:p>
      <w:pPr>
        <w:spacing w:after="120" w:line="300"/>
      </w:pPr>
      <w:r>
        <w:rPr>
          <w:rFonts w:ascii="Arial" w:cs="Arial" w:eastAsia="Arial" w:hAnsi="Arial"/>
          <w:i/>
          <w:iCs/>
          <w:color w:val="555555"/>
          <w:sz w:val="22"/>
          <w:szCs w:val="22"/>
        </w:rPr>
        <w:t xml:space="preserve">Section signée par : None</w:t>
      </w:r>
    </w:p>
    <w:p>
      <w:pPr>
        <w:pStyle w:val="Heading2"/>
        <w:spacing w:after="120" w:before="240"/>
      </w:pPr>
      <w:r>
        <w:rPr>
          <w:rFonts w:ascii="Arial" w:cs="Arial" w:eastAsia="Arial" w:hAnsi="Arial"/>
          <w:b w:val="false"/>
          <w:bCs w:val="false"/>
          <w:i w:val="false"/>
          <w:iCs w:val="false"/>
        </w:rPr>
        <w:t xml:space="preserve">Réponse</w:t>
      </w:r>
    </w:p>
    <w:p>
      <w:pPr>
        <w:shd w:fill="FFF2A8" w:color="auto" w:val="clear"/>
        <w:spacing w:after="160" w:before="160"/>
      </w:pPr>
      <w:r>
        <w:rPr>
          <w:rFonts w:ascii="Arial" w:cs="Arial" w:eastAsia="Arial" w:hAnsi="Arial"/>
          <w:i/>
          <w:iCs/>
          <w:sz w:val="22"/>
          <w:szCs w:val="22"/>
        </w:rPr>
        <w:t xml:space="preserve">[À rédiger] En un paragraphe : la réponse du rôle, avec ses chiffres clés cités par jeton.</w:t>
      </w:r>
    </w:p>
    <w:p>
      <w:pPr>
        <w:pStyle w:val="Heading2"/>
        <w:spacing w:after="120" w:before="240"/>
      </w:pPr>
      <w:r>
        <w:rPr>
          <w:rFonts w:ascii="Arial" w:cs="Arial" w:eastAsia="Arial" w:hAnsi="Arial"/>
          <w:b w:val="false"/>
          <w:bCs w:val="false"/>
          <w:i w:val="false"/>
          <w:iCs w:val="false"/>
        </w:rPr>
        <w:t xml:space="preserve">Les provisions de fermeture et post-fermeture</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L'affectation du prix de Clean Earth</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Ce que coûte un passif chez un pair</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Ce que nous n'avons pas pu établir</w:t>
      </w:r>
    </w:p>
    <w:p>
      <w:pPr>
        <w:pStyle w:val="ListParagraph"/>
        <w:numPr>
          <w:ilvl w:val="0"/>
          <w:numId w:val="4"/>
        </w:numPr>
        <w:spacing w:after="80"/>
      </w:pPr>
      <w:r>
        <w:rPr>
          <w:rFonts w:ascii="Arial" w:cs="Arial" w:eastAsia="Arial" w:hAnsi="Arial"/>
          <w:b w:val="false"/>
          <w:bCs w:val="false"/>
          <w:i w:val="false"/>
          <w:iCs w:val="false"/>
          <w:sz w:val="22"/>
          <w:szCs w:val="22"/>
        </w:rPr>
        <w:t xml:space="preserve">[À rédiger]</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1 220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1 214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1 290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réhabilitation de sites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1 106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risques environnementaux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Désactualisation (charge annuelle)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Segment Amériques-Asie-Afrique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Segment Amériques-Asie-Afrique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prix payé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01/06/2026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2 542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goodwill préliminaire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2 066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53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Goodwill en % du prix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81,3 %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aucune affectation au 30/06/2026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Garanties reçues liées aux acquisitions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Garanties reçues liées aux acquisitions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comptées en dette, levier 2027</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3,22x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avec 50 % des hybrides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environnementaux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230 697 k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43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6 030,8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environnementaux / CA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passifs environnementaux courants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12 736 k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passifs environnementaux non courants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38 256 k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Ordre de grandeur pour Clean Earth par analogie Clean Harbors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 M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analogie, pas une mesure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4"/>
        </w:numPr>
        <w:spacing w:after="80"/>
      </w:pPr>
      <w:r>
        <w:rPr>
          <w:rFonts w:ascii="Arial" w:cs="Arial" w:eastAsia="Arial" w:hAnsi="Arial"/>
          <w:sz w:val="22"/>
          <w:szCs w:val="22"/>
        </w:rPr>
        <w:t xml:space="preserve">Les passifs environnementaux propres à Clean Earth sont dans les comptes d'Enviri (activité cédée) : à verser à la main.</w:t>
      </w:r>
    </w:p>
    <w:p>
      <w:pPr>
        <w:pStyle w:val="ListParagraph"/>
        <w:numPr>
          <w:ilvl w:val="0"/>
          <w:numId w:val="4"/>
        </w:numPr>
        <w:spacing w:after="80"/>
      </w:pPr>
      <w:r>
        <w:rPr>
          <w:rFonts w:ascii="Arial" w:cs="Arial" w:eastAsia="Arial" w:hAnsi="Arial"/>
          <w:sz w:val="22"/>
          <w:szCs w:val="22"/>
        </w:rPr>
        <w:t xml:space="preserve">Les garanties reçues passent de 45 à 75 M€, sans être attribuées à Clean Earth.</w:t>
      </w:r>
    </w:p>
    <w:p>
      <w:pPr>
        <w:pStyle w:val="ListParagraph"/>
        <w:numPr>
          <w:ilvl w:val="0"/>
          <w:numId w:val="4"/>
        </w:numPr>
        <w:spacing w:after="80"/>
      </w:pPr>
      <w:r>
        <w:rPr>
          <w:rFonts w:ascii="Arial" w:cs="Arial" w:eastAsia="Arial" w:hAnsi="Arial"/>
          <w:sz w:val="22"/>
          <w:szCs w:val="22"/>
        </w:rPr>
        <w:t xml:space="preserve">La dataroom ne contient aucun rapport d'agence sur le traitement des provisions environnementales.</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Combien Clean Earth ajoute-t-il en passifs environnementaux ?</w:t>
      </w:r>
    </w:p>
    <w:p>
      <w:pPr>
        <w:spacing w:after="120" w:line="300"/>
      </w:pPr>
      <w:r>
        <w:rPr>
          <w:rFonts w:ascii="Arial" w:cs="Arial" w:eastAsia="Arial" w:hAnsi="Arial"/>
          <w:sz w:val="22"/>
          <w:szCs w:val="22"/>
        </w:rPr>
        <w:t xml:space="preserve">On ne peut pas encore le dire depuis les comptes de Veolia : l'affectation du prix n'est pas faite. La seule trace est la hausse des provisions du segment Amériques, que Veolia n'attribue pas. La réponse est dans les comptes d'Enviri.</w:t>
      </w:r>
    </w:p>
    <w:p>
      <w:pPr>
        <w:spacing w:after="120" w:line="300"/>
      </w:pPr>
      <w:r>
        <w:rPr>
          <w:rFonts w:ascii="Arial" w:cs="Arial" w:eastAsia="Arial" w:hAnsi="Arial"/>
          <w:b/>
          <w:bCs/>
          <w:sz w:val="22"/>
          <w:szCs w:val="22"/>
        </w:rPr>
        <w:t xml:space="preserve">Les provisions sont-elles de la dette ?</w:t>
      </w:r>
    </w:p>
    <w:p>
      <w:pPr>
        <w:spacing w:after="120" w:line="300"/>
      </w:pPr>
      <w:r>
        <w:rPr>
          <w:rFonts w:ascii="Arial" w:cs="Arial" w:eastAsia="Arial" w:hAnsi="Arial"/>
          <w:sz w:val="22"/>
          <w:szCs w:val="22"/>
        </w:rPr>
        <w:t xml:space="preserve">Pas dans la définition de Veolia. Un prêteur prudent en tient compte : elles ajouteraient environ 0,16x au levier de 2027.</w:t>
      </w:r>
    </w:p>
    <w:p>
      <w:pPr>
        <w:spacing w:after="120" w:line="300"/>
      </w:pPr>
      <w:r>
        <w:rPr>
          <w:rFonts w:ascii="Arial" w:cs="Arial" w:eastAsia="Arial" w:hAnsi="Arial"/>
          <w:b/>
          <w:bCs/>
          <w:sz w:val="22"/>
          <w:szCs w:val="22"/>
        </w:rPr>
        <w:t xml:space="preserve">Où vont les euros « verts » de Veolia, et que mesure-t-on par euro ?</w:t>
      </w:r>
    </w:p>
    <w:p>
      <w:pPr>
        <w:spacing w:after="120" w:line="300"/>
      </w:pPr>
      <w:r>
        <w:rPr>
          <w:rFonts w:ascii="Arial" w:cs="Arial" w:eastAsia="Arial" w:hAnsi="Arial"/>
          <w:sz w:val="22"/>
          <w:szCs w:val="22"/>
        </w:rPr>
        <w:t xml:space="preserve">La taxonomie européenne (DEU 2025, p.250) : sur 4,5 Md€ de capex, 2,1 Md€ sont éligibles et alignés, soit 47 % ; l'eau en porte 0,8 Md€, les déchets dangereux 0,3 Md€ — 14 % du capex aligné du groupe, mais la ligne la mieux alignée (75 % de l'éligible). Ce que le DEU ne donne pas : l'impact par euro (tonnes traitées, CO2 évité, m³ économisés par M€ investi), publié au niveau du groupe seulement. C'est la question 3 du cours, et une question pour Veolia le 16 octobre.</w:t>
      </w:r>
    </w:p>
    <w:p>
      <w:pPr>
        <w:spacing w:after="120" w:line="300"/>
      </w:pPr>
      <w:r>
        <w:rPr>
          <w:rFonts w:ascii="Arial" w:cs="Arial" w:eastAsia="Arial" w:hAnsi="Arial"/>
          <w:b/>
          <w:bCs/>
          <w:sz w:val="22"/>
          <w:szCs w:val="22"/>
        </w:rPr>
        <w:t xml:space="preserve">Pourquoi 81 % de goodwill est-il un sujet ESG ?</w:t>
      </w:r>
    </w:p>
    <w:p>
      <w:pPr>
        <w:spacing w:after="120" w:line="300"/>
      </w:pPr>
      <w:r>
        <w:rPr>
          <w:rFonts w:ascii="Arial" w:cs="Arial" w:eastAsia="Arial" w:hAnsi="Arial"/>
          <w:sz w:val="22"/>
          <w:szCs w:val="22"/>
        </w:rPr>
        <w:t xml:space="preserve">Parce que tant que le prix n'est pas affecté, un passif environnemental découvert plus tard viendra réduire l'actif net acquis et gonfler le goodwill, sans que personne l'ait vu à l'achat.</w:t>
      </w:r>
    </w:p>
    <w:p>
      <w:r>
        <w:br w:type="page"/>
      </w:r>
    </w:p>
    <w:p>
      <w:pPr>
        <w:pStyle w:val="Heading1"/>
        <w:spacing w:after="120" w:before="240"/>
      </w:pPr>
      <w:r>
        <w:rPr>
          <w:rFonts w:ascii="Arial" w:cs="Arial" w:eastAsia="Arial" w:hAnsi="Arial"/>
        </w:rPr>
        <w:t xml:space="preserve">Rôle 6 — Cibles, puis synthèse</w:t>
      </w:r>
    </w:p>
    <w:p>
      <w:pPr>
        <w:spacing w:after="120" w:line="300"/>
      </w:pPr>
      <w:r>
        <w:rPr>
          <w:rFonts w:ascii="Arial" w:cs="Arial" w:eastAsia="Arial" w:hAnsi="Arial"/>
          <w:i/>
          <w:iCs/>
          <w:color w:val="555555"/>
          <w:sz w:val="22"/>
          <w:szCs w:val="22"/>
        </w:rPr>
        <w:t xml:space="preserve">L'univers de cibles, puis une recommandation calibrée sur l'enveloppe propre.</w:t>
      </w:r>
    </w:p>
    <w:p>
      <w:pPr>
        <w:spacing w:after="120" w:line="300"/>
      </w:pPr>
      <w:r>
        <w:rPr>
          <w:rFonts w:ascii="Arial" w:cs="Arial" w:eastAsia="Arial" w:hAnsi="Arial"/>
          <w:i/>
          <w:iCs/>
          <w:color w:val="555555"/>
          <w:sz w:val="22"/>
          <w:szCs w:val="22"/>
        </w:rPr>
        <w:t xml:space="preserve">Section signée par : None</w:t>
      </w:r>
    </w:p>
    <w:p>
      <w:pPr>
        <w:pStyle w:val="Heading2"/>
        <w:spacing w:after="120" w:before="240"/>
      </w:pPr>
      <w:r>
        <w:rPr>
          <w:rFonts w:ascii="Arial" w:cs="Arial" w:eastAsia="Arial" w:hAnsi="Arial"/>
          <w:b w:val="false"/>
          <w:bCs w:val="false"/>
          <w:i w:val="false"/>
          <w:iCs w:val="false"/>
        </w:rPr>
        <w:t xml:space="preserve">Réponse</w:t>
      </w:r>
    </w:p>
    <w:p>
      <w:pPr>
        <w:shd w:fill="FFF2A8" w:color="auto" w:val="clear"/>
        <w:spacing w:after="160" w:before="160"/>
      </w:pPr>
      <w:r>
        <w:rPr>
          <w:rFonts w:ascii="Arial" w:cs="Arial" w:eastAsia="Arial" w:hAnsi="Arial"/>
          <w:i/>
          <w:iCs/>
          <w:sz w:val="22"/>
          <w:szCs w:val="22"/>
        </w:rPr>
        <w:t xml:space="preserve">[À rédiger] En un paragraphe : la réponse du rôle, avec ses chiffres clés cités par jeton.</w:t>
      </w:r>
    </w:p>
    <w:p>
      <w:pPr>
        <w:pStyle w:val="Heading2"/>
        <w:spacing w:after="120" w:before="240"/>
      </w:pPr>
      <w:r>
        <w:rPr>
          <w:rFonts w:ascii="Arial" w:cs="Arial" w:eastAsia="Arial" w:hAnsi="Arial"/>
          <w:b w:val="false"/>
          <w:bCs w:val="false"/>
          <w:i w:val="false"/>
          <w:iCs w:val="false"/>
        </w:rPr>
        <w:t xml:space="preserve">La taille maximale selon le multiple</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L'univers de cibles</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Synthèse : notre recommandation</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Ce que nous n'avons pas pu établir</w:t>
      </w:r>
    </w:p>
    <w:p>
      <w:pPr>
        <w:pStyle w:val="ListParagraph"/>
        <w:numPr>
          <w:ilvl w:val="0"/>
          <w:numId w:val="4"/>
        </w:numPr>
        <w:spacing w:after="80"/>
      </w:pPr>
      <w:r>
        <w:rPr>
          <w:rFonts w:ascii="Arial" w:cs="Arial" w:eastAsia="Arial" w:hAnsi="Arial"/>
          <w:b w:val="false"/>
          <w:bCs w:val="false"/>
          <w:i w:val="false"/>
          <w:iCs w:val="false"/>
          <w:sz w:val="22"/>
          <w:szCs w:val="22"/>
        </w:rPr>
        <w:t xml:space="preserve">[À rédiger]</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à 8,0x : défavorable / central / favorable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 / 2,51 / 5,59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 (1 − 3 / multiple)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à 9,8x : défavorable / central / favorable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 / 2,26 / 5,03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 (1 − 3 / multiple)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à 12,0x : défavorable / central / favorable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 / 2,09 / 4,65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 (1 − 3 / multiple)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à 15,0x : défavorable / central / favorable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 / 1,96 / 4,36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 (1 − 3 / multiple)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valeur d'entreprise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synergies, année 4</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Multiple avant synergies recalculé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15,0x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 / EBITDA 2026E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Multiple après synergies recalculé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 / (EBITDA + synergies)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Multiple publié après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9,8x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multiple moyen des tuck-ins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Tuck-ins 2025 : multiple moyen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WTS : multiple après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finance_veolia_q1_presentation_2025.pdf,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Multiples publiés par Veolia, après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7,40x à 11,00x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médiane 9,40x</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 prix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03/2024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 EBITDA ajusté 2023</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 multiple après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7,1x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 valeur de la transaction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07/2021</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 EBITDA 2021 attendu (bas)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2021e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 valeur d'entreprise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06/2024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régime de croisière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 valeur totale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02/2022</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 EBITDA ajusté 12 mois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 30/09/2021</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Secteur, avant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11,11x à 14,10x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communiqués des acquéreurs, 05_Commercial_Strategy</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avant synergies face au plus cher du secteur</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0,90x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positif = au-dessus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4"/>
        </w:numPr>
        <w:spacing w:after="80"/>
      </w:pPr>
      <w:r>
        <w:rPr>
          <w:rFonts w:ascii="Arial" w:cs="Arial" w:eastAsia="Arial" w:hAnsi="Arial"/>
          <w:sz w:val="22"/>
          <w:szCs w:val="22"/>
        </w:rPr>
        <w:t xml:space="preserve">L'univers de cibles reste à construire (onglet Cibles §C) : nom, pays, activité, valeur d'entreprise sourcée, multiple.</w:t>
      </w:r>
    </w:p>
    <w:p>
      <w:pPr>
        <w:pStyle w:val="ListParagraph"/>
        <w:numPr>
          <w:ilvl w:val="0"/>
          <w:numId w:val="4"/>
        </w:numPr>
        <w:spacing w:after="80"/>
      </w:pPr>
      <w:r>
        <w:rPr>
          <w:rFonts w:ascii="Arial" w:cs="Arial" w:eastAsia="Arial" w:hAnsi="Arial"/>
          <w:sz w:val="22"/>
          <w:szCs w:val="22"/>
        </w:rPr>
        <w:t xml:space="preserve">Aucune valeur d'entreprise de cible non cotée n'est dans la dataroom ; une estimation devra le dire.</w:t>
      </w:r>
    </w:p>
    <w:p>
      <w:pPr>
        <w:pStyle w:val="ListParagraph"/>
        <w:numPr>
          <w:ilvl w:val="0"/>
          <w:numId w:val="4"/>
        </w:numPr>
        <w:spacing w:after="80"/>
      </w:pPr>
      <w:r>
        <w:rPr>
          <w:rFonts w:ascii="Arial" w:cs="Arial" w:eastAsia="Arial" w:hAnsi="Arial"/>
          <w:sz w:val="22"/>
          <w:szCs w:val="22"/>
        </w:rPr>
        <w:t xml:space="preserve">La recommandation est une proposition du modèle : au groupe de la défendre ou de l'amender.</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Pourquoi ne pas recommander une acquisition de 3 Md€ ?</w:t>
      </w:r>
    </w:p>
    <w:p>
      <w:pPr>
        <w:spacing w:after="120" w:line="300"/>
      </w:pPr>
      <w:r>
        <w:rPr>
          <w:rFonts w:ascii="Arial" w:cs="Arial" w:eastAsia="Arial" w:hAnsi="Arial"/>
          <w:sz w:val="22"/>
          <w:szCs w:val="22"/>
        </w:rPr>
        <w:t xml:space="preserve">Parce qu'au multiple de Clean Earth elle demanderait une marge de 2 082 M€ et que le scénario central n'en dégage que 1 571, sans même compter un glissement des cessions.</w:t>
      </w:r>
    </w:p>
    <w:p>
      <w:pPr>
        <w:spacing w:after="120" w:line="300"/>
      </w:pPr>
      <w:r>
        <w:rPr>
          <w:rFonts w:ascii="Arial" w:cs="Arial" w:eastAsia="Arial" w:hAnsi="Arial"/>
          <w:b/>
          <w:bCs/>
          <w:sz w:val="22"/>
          <w:szCs w:val="22"/>
        </w:rPr>
        <w:t xml:space="preserve">Que paie Veolia d'habitude, et que paie le secteur ?</w:t>
      </w:r>
    </w:p>
    <w:p>
      <w:pPr>
        <w:spacing w:after="120" w:line="300"/>
      </w:pPr>
      <w:r>
        <w:rPr>
          <w:rFonts w:ascii="Arial" w:cs="Arial" w:eastAsia="Arial" w:hAnsi="Arial"/>
          <w:sz w:val="22"/>
          <w:szCs w:val="22"/>
        </w:rPr>
        <w:t xml:space="preserve">Veolia publie ses multiples après synergies : 7,4x pour treize tuck-ins espagnols, environ 9x pour les tuck-ins 2025, 9,40x en médiane, 11,00x au plus (le rachat des 30 % de WTS). Le secteur, avant synergies : 11,11x à 14,10x (HEPACO par Clean Harbors, Covanta par EQT, US Ecology par Republic quand le communiqué est versé) ; HEPACO ressort à 7,1x après synergies. Clean Earth avant synergies dépasse de 0,90x le plus cher du secteur : les synergies « achètent » 5,20x de multiple. D'où la grille : 8x, 9,8x, 12x.</w:t>
      </w:r>
    </w:p>
    <w:p>
      <w:pPr>
        <w:spacing w:after="120" w:line="300"/>
      </w:pPr>
      <w:r>
        <w:rPr>
          <w:rFonts w:ascii="Arial" w:cs="Arial" w:eastAsia="Arial" w:hAnsi="Arial"/>
          <w:b/>
          <w:bCs/>
          <w:sz w:val="22"/>
          <w:szCs w:val="22"/>
        </w:rPr>
        <w:t xml:space="preserve">Quel multiple retenez-vous ?</w:t>
      </w:r>
    </w:p>
    <w:p>
      <w:pPr>
        <w:spacing w:after="120" w:line="300"/>
      </w:pPr>
      <w:r>
        <w:rPr>
          <w:rFonts w:ascii="Arial" w:cs="Arial" w:eastAsia="Arial" w:hAnsi="Arial"/>
          <w:sz w:val="22"/>
          <w:szCs w:val="22"/>
        </w:rPr>
        <w:t xml:space="preserve">Celui de Clean Earth après synergies, parce que c'est le seul qu'un acheteur comme Veolia ait publié. Plus le multiple monte, plus la taille possible baisse : à 12x, 2,09 Md€.</w:t>
      </w:r>
    </w:p>
    <w:p>
      <w:pPr>
        <w:spacing w:after="120" w:line="300"/>
      </w:pPr>
      <w:r>
        <w:rPr>
          <w:rFonts w:ascii="Arial" w:cs="Arial" w:eastAsia="Arial" w:hAnsi="Arial"/>
          <w:b/>
          <w:bCs/>
          <w:sz w:val="22"/>
          <w:szCs w:val="22"/>
        </w:rPr>
        <w:t xml:space="preserve">Et si le programme de cessions glisse ?</w:t>
      </w:r>
    </w:p>
    <w:p>
      <w:pPr>
        <w:spacing w:after="120" w:line="300"/>
      </w:pPr>
      <w:r>
        <w:rPr>
          <w:rFonts w:ascii="Arial" w:cs="Arial" w:eastAsia="Arial" w:hAnsi="Arial"/>
          <w:sz w:val="22"/>
          <w:szCs w:val="22"/>
        </w:rPr>
        <w:t xml:space="preserve">Sans encaissement du reste du programme en 2027, la marge baisse de 478 M€ et la taille possible au multiple de Clean Earth tombe à environ 1,57 Md€. La recommandation conditionne toute opération à l'encaissement des cessions.</w:t>
      </w:r>
    </w:p>
    <w:p>
      <w:r>
        <w:br w:type="page"/>
      </w:r>
    </w:p>
    <w:p>
      <w:pPr>
        <w:pStyle w:val="Heading1"/>
        <w:spacing w:after="120" w:before="240"/>
      </w:pPr>
      <w:r>
        <w:rPr>
          <w:rFonts w:ascii="Arial" w:cs="Arial" w:eastAsia="Arial" w:hAnsi="Arial"/>
        </w:rPr>
        <w:t xml:space="preserve">La fourchette de capacité, pour les autres périmètres</w:t>
      </w:r>
    </w:p>
    <w:p>
      <w:pPr>
        <w:spacing w:after="120" w:line="300"/>
      </w:pPr>
      <w:r>
        <w:rPr>
          <w:rFonts w:ascii="Arial" w:cs="Arial" w:eastAsia="Arial" w:hAnsi="Arial"/>
          <w:sz w:val="22"/>
          <w:szCs w:val="22"/>
        </w:rPr>
        <w:t xml:space="preserve">Le nombre que les groupes « technologies de l'eau », « déchets dangereux » et « bioénergie » doivent respecter, dans ses trois scénarios et sous ses deux plafonds.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26"/>
        <w:gridCol w:w="1600"/>
        <w:gridCol w:w="1600"/>
        <w:gridCol w:w="1600"/>
      </w:tblGrid>
      <w:tr>
        <w:trPr>
          <w:tblHeader/>
        </w:trPr>
        <w:tc>
          <w:tcPr>
            <w:tcW w:type="dxa" w:w="42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Fin 2027</w:t>
            </w:r>
          </w:p>
        </w:tc>
        <w:tc>
          <w:tcPr>
            <w:tcW w:type="dxa" w:w="1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Défavorable</w:t>
            </w:r>
          </w:p>
        </w:tc>
        <w:tc>
          <w:tcPr>
            <w:tcW w:type="dxa" w:w="1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Central</w:t>
            </w:r>
          </w:p>
        </w:tc>
        <w:tc>
          <w:tcPr>
            <w:tcW w:type="dxa" w:w="1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Favorable</w:t>
            </w:r>
          </w:p>
        </w:tc>
      </w:tr>
      <w:tr>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de dette sous le levier ≤ 3x (M EUR)</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−535</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1 571</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3 491</w:t>
            </w:r>
          </w:p>
        </w:tc>
      </w:tr>
      <w:tr>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de dette sous le seuil S&amp;P 18 % FFO / dette ajustée (M EUR)</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521</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4 333</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7 355</w:t>
            </w:r>
          </w:p>
        </w:tc>
      </w:tr>
      <w:tr>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Contrainte qui mord en premier</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Veolia</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Veolia</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Veolia</w:t>
            </w:r>
          </w:p>
        </w:tc>
      </w:tr>
      <w:tr>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maximale au multiple de Clean Earth (9,8x), M EUR</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2 264</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5 871</w:t>
            </w:r>
          </w:p>
        </w:tc>
      </w:tr>
    </w:tbl>
    <w:p>
      <w:pPr>
        <w:pStyle w:val="Heading2"/>
        <w:spacing w:after="120" w:before="240"/>
      </w:pPr>
      <w:r>
        <w:rPr>
          <w:rFonts w:ascii="Arial" w:cs="Arial" w:eastAsia="Arial" w:hAnsi="Arial"/>
        </w:rPr>
        <w:t xml:space="preserve">Ce qu'il reste à faire avant la remise</w:t>
      </w:r>
    </w:p>
    <w:p>
      <w:pPr>
        <w:pStyle w:val="ListParagraph"/>
        <w:numPr>
          <w:ilvl w:val="0"/>
          <w:numId w:val="4"/>
        </w:numPr>
        <w:spacing w:after="80"/>
      </w:pPr>
      <w:r>
        <w:rPr>
          <w:rFonts w:ascii="Arial" w:cs="Arial" w:eastAsia="Arial" w:hAnsi="Arial"/>
          <w:sz w:val="22"/>
          <w:szCs w:val="22"/>
        </w:rPr>
        <w:t xml:space="preserve">Relire en croisé les 596 chiffres du registre et les 26 deals : aucun n'a encore de relecteur.</w:t>
      </w:r>
    </w:p>
    <w:p>
      <w:pPr>
        <w:pStyle w:val="ListParagraph"/>
        <w:numPr>
          <w:ilvl w:val="0"/>
          <w:numId w:val="4"/>
        </w:numPr>
        <w:spacing w:after="80"/>
      </w:pPr>
      <w:r>
        <w:rPr>
          <w:rFonts w:ascii="Arial" w:cs="Arial" w:eastAsia="Arial" w:hAnsi="Arial"/>
          <w:sz w:val="22"/>
          <w:szCs w:val="22"/>
        </w:rPr>
        <w:t xml:space="preserve">Lire les 10-K 2025 d'Enviri et de Clean Harbors, désormais dans la dataroom, et en tirer les chiffres des rôles 4 et 5 (passifs environnementaux de Clean Earth, marges et levier de Clean Harbors). Reste à verser : le 10-Q du T1 2026 d'Enviri et le communiqué de vente du 20 novembre 2025.</w:t>
      </w:r>
    </w:p>
    <w:p>
      <w:pPr>
        <w:pStyle w:val="ListParagraph"/>
        <w:numPr>
          <w:ilvl w:val="0"/>
          <w:numId w:val="4"/>
        </w:numPr>
        <w:spacing w:after="80"/>
      </w:pPr>
      <w:r>
        <w:rPr>
          <w:rFonts w:ascii="Arial" w:cs="Arial" w:eastAsia="Arial" w:hAnsi="Arial"/>
          <w:sz w:val="22"/>
          <w:szCs w:val="22"/>
        </w:rPr>
        <w:t xml:space="preserve">Avant le 7 octobre : montrer la dataroom comme « sources chargées et lues », et noter dans gaps.md ce qui manque encore.</w:t>
      </w:r>
    </w:p>
    <w:p>
      <w:pPr>
        <w:pStyle w:val="ListParagraph"/>
        <w:numPr>
          <w:ilvl w:val="0"/>
          <w:numId w:val="4"/>
        </w:numPr>
        <w:spacing w:after="80"/>
      </w:pPr>
      <w:r>
        <w:rPr>
          <w:rFonts w:ascii="Arial" w:cs="Arial" w:eastAsia="Arial" w:hAnsi="Arial"/>
          <w:sz w:val="22"/>
          <w:szCs w:val="22"/>
        </w:rPr>
        <w:t xml:space="preserve">Rédiger la page d'annexe sur les outils d'IA : dataroom MCP (recherche, registre, contrôles), Claude pour construire le classeur et ces dossiers, LibreOffice pour le recalcul. Aucun chiffre produit par le modèle de langage.</w:t>
      </w:r>
    </w:p>
    <w:p>
      <w:pPr>
        <w:pStyle w:val="ListParagraph"/>
        <w:numPr>
          <w:ilvl w:val="0"/>
          <w:numId w:val="4"/>
        </w:numPr>
        <w:spacing w:after="80"/>
      </w:pPr>
      <w:r>
        <w:rPr>
          <w:rFonts w:ascii="Arial" w:cs="Arial" w:eastAsia="Arial" w:hAnsi="Arial"/>
          <w:sz w:val="22"/>
          <w:szCs w:val="22"/>
        </w:rPr>
        <w:t xml:space="preserve">Construire l'univers de cibles (onglet Cibles §C) : une ligne par cible, valeur d'entreprise et multiple sourcés.</w:t>
      </w:r>
    </w:p>
    <w:p>
      <w:pPr>
        <w:pStyle w:val="ListParagraph"/>
        <w:numPr>
          <w:ilvl w:val="0"/>
          <w:numId w:val="4"/>
        </w:numPr>
        <w:spacing w:after="80"/>
      </w:pPr>
      <w:r>
        <w:rPr>
          <w:rFonts w:ascii="Arial" w:cs="Arial" w:eastAsia="Arial" w:hAnsi="Arial"/>
          <w:sz w:val="22"/>
          <w:szCs w:val="22"/>
        </w:rPr>
        <w:t xml:space="preserve">Chacun ouvre son rôle avec l'outil workstream_status de la dataroom pour voir ses chiffres et ce qui manque.</w:t>
      </w:r>
    </w:p>
    <w:p>
      <w:r>
        <w:br w:type="page"/>
      </w:r>
    </w:p>
    <w:p>
      <w:pPr>
        <w:pStyle w:val="Heading1"/>
        <w:spacing w:after="120" w:before="240"/>
      </w:pPr>
      <w:r>
        <w:rPr>
          <w:rFonts w:ascii="Arial" w:cs="Arial" w:eastAsia="Arial" w:hAnsi="Arial"/>
        </w:rPr>
        <w:t xml:space="preserve">Annexe A — Registre des chiffres cités</w:t>
      </w:r>
    </w:p>
    <w:p>
      <w:pPr>
        <w:spacing w:after="120" w:line="300"/>
      </w:pPr>
      <w:r>
        <w:rPr>
          <w:rFonts w:ascii="Arial" w:cs="Arial" w:eastAsia="Arial" w:hAnsi="Arial"/>
          <w:sz w:val="18"/>
          <w:szCs w:val="18"/>
        </w:rPr>
        <w:t xml:space="preserve">596 chiffres, chacun avec le fichier joint, la page, l'URL d'origine et la date de consultation. « Relu par » vide : un seul membre a lu la page.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1000"/>
        <w:gridCol w:w="900"/>
        <w:gridCol w:w="3326"/>
        <w:gridCol w:w="400"/>
        <w:gridCol w:w="400"/>
      </w:tblGrid>
      <w:tr>
        <w:trPr>
          <w:tblHeader/>
        </w:trPr>
        <w:tc>
          <w:tcPr>
            <w:tcW w:type="dxa" w:w="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24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33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Citation</w:t>
            </w:r>
          </w:p>
        </w:tc>
        <w:tc>
          <w:tcPr>
            <w:tcW w:type="dxa" w:w="4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Rôle</w:t>
            </w:r>
          </w:p>
        </w:tc>
        <w:tc>
          <w:tcPr>
            <w:tcW w:type="dxa" w:w="4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3 552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47,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rotation NETTE d'actifs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nets (net capex)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3,855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tuck-ins,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Plafond GreenUp : dette financière nette / EBITDA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64,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investissements nets par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Endettement financier net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19,657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capex de croissance discrétionnaire,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0.7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Dettes hybrides (titres super-subordonnés), hors coupons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64,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Endettement financier net (groupe), après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24 548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14,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GreenUp : EBITDA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9,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(net free cash flow)</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1,156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Ratio de levier publié, hors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2.92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31/03/2026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operating_and_financial_review_consolidated_financial_statements_q1_2026.pdf, p. 5, https://www.veolia.com/sites/g/files/dvc4206/files/document/2026/05/Operating_and_financial_review_consolidated_financial_statements_Q1_2026.pdf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 versé au titre de 2024</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337,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Ratio de levier publié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2.79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6,788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cessions continues d'actifs non stratégiques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3 367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47,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Ratio de levier publié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tuck-ins,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levier 2026 : égal ou légèrement supérieur à, avec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29,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Endettement financier net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17,819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capex de croissance discrétionnaire,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Programme de cessions, à réaliser d'ici mi-2028 :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29,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9 332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14,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 proposé au titre de 2025</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1,50 EUR par action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337,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avant investissements financiers et dividendes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(net free cash flow)</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réalisées (Mexique, Belgique)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14,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Signatures de cessions attendues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14,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d'actifs sur 4 ans :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4,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traités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9 196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traités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9,181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 déchets dangereux traités en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Mt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GreenUp initial : déchets dangereux et polluants traités en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9,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9,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1,475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9,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1,189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prix d'acquisition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2 989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01/06/2026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prix d'acquisition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2 542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01/06/2026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pour réhabilitation de sites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pour risques environnementaux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 (réhabilitation, démantèlement)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segment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valeur d'entreprise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valeur d'entreprise (équivalent)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multiple VE / EBITDA 2026e après synergies en régime de croisière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9.8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synergies de coûts en régime de croisière, année 4</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coûts de mise en œuvre attendus des synergies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1-4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EBITDA (ajusté, post IFRS 16)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1,030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conversion FCF / EBITDA,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980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 de levier du groupe : autour ou légèrement au-dessus de, selon le calendrier des 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 de levier du groupe :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 levier égal ou légèrement supérieur à 3x en fin d'année, Clean Earth inclus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Veolia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4,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Veolia + Clean Earth : chiffre d'affaires pro forma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Veolia + Clean Earth : EBITDA pro forma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Veolia + Clean Earth : marge d'EBITDA pro forma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Ambition GreenUp relevée : croissance annuelle de l'EBITDA déchets dangereux,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Capacité ajoutée par 5 usines de traitement en construction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430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 construction</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investissements financiers nets des 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-2,301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14,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dividendes versés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émission de la première obligation hybride verte (nette) — réduit la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augmentation de capital Sequoia 2025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réduction de capital par annulation d'actions rachetées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effet de change et de juste valeur (favorable)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avant investissements financiers et dividendes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Endettement financier net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20,764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dividendes versés (total, minoritaires compris)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-1,394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2025 : dividendes versés (total, minoritaires compris)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 versé aux actionnaires, approuvé par l'AG du 23 avril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1,099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investissements financiers nets des 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-2,869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effet sur l'endettement financier net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Enviropacific Services : effet sur l'endettement financier net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effet de change et de juste valeur (défavorable)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variation des créances et autres actifs financiers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émission d'actions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autres mouvements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retraitement des passifs financiers (PPA Suez)</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Variation du BFR opérationnel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-1,238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Variation du BFR opérationnel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-1,171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industriels nets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-1,630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Nombre moyen pondéré d'actions (de base)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731,697,339 actions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64,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2026 : croissance organique de l'EBITDA,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2026 : croissance organique de l'EBITDA,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2026 : croissance du résultat net courant, au moins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investissements de maintenance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croissance sur contrats existants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cessions industrielles, moins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0.3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Europe : croissance du chiffre d'affaires à périmètre et change constants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894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991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goodwill préliminaire (affectation du prix non réalisée au 30/06/2026)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53,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1,220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328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pour démantèlement d'installations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Désactualisation des provisions de fermeture et post-fermeture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Engagements reçus liés au périmètre (garanties liées à des acquisitions)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Engagements reçus liés au périmètre (garanties liées à des acquisitions)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sites spécialisés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82 sites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4,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permis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700 permis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4,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investissements nets de croissance 2024-2027 dans les boosters (« 2 x Impact 2023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44,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à investir dans les strongholds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44,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d'actifs déjà réalisée depuis le début de GreenUp,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nouvelles d'actifs matures dans les 2 ans après la clôture de Clean Earth,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d'actifs totale GreenUp avec Clean Earth et le plan de cessions,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acquisitions GreenUp dans les boosters,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acquisitions GreenUp hors d'Europe,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2024 (cessions SADE, RGS, Lydec, Haikou ; achat Hofmann)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2025e (déchets dangereux US, WTS minoritaires…)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investissements financiers nets des cessions (entrée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dividendes versés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-895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remboursement de dette hybride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augmentation de capital Sequoia 2024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effet de change et de juste valeur (défavorable)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nets (net capex)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3,836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Maturité moyenne de la dette financière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années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Maturité moyenne de la dette financière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7.1 années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 la dette financière nette à taux fixe après couverture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 attendu,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 attendu,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pic attendu,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seuil de dégradation, FFO / dette nette sous (libellé publié)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high teens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condition de relèvement, FFO / dette nette dans (libellé publié)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low-to-mid 20s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10,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 EBITDA ajustés (grille de notation)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10,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levier net selon la définition de Veolia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6,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cessions envisagées d'actifs non stratégiques ou matures,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6,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chiffre d'affaires du segment Déchets dangereux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5,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part des déchets dangereux dans le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5,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chiffre d'affaires déchets dangereux pro forma avec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5,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seuil de dégradation, FFO / dette ajustés durablement sous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FFO / dette ajustés attendu,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FFO / dette ajustés attendu,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croissance annuelle attendue de l'EBITDA publié,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croissance annuelle attendue de l'EBITDA publié,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4,954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du chiffre d'affaires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669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11,316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du chiffre d'affaires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19,206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2,758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8,914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12,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9,145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12,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18,619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12,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11,945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12,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2,642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13,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2,025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13,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13,191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du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1,668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marge d'EBITDA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3,471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41,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41,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2,213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du chiffre d'affaires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(scope 4), base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13.45 Mt CO2e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progression vs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progression vs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objectif vs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eau douce économisée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1.45 Md m3</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eau douce économisée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1.574 Md m3</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eau douce économisée, objectif au moins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Md m3</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objectif</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Mt CO2e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191,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Gains d'efficacité (et non synergies)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5,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cumulées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5,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 objectif cumulé relevé (initial 500)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finance_operating_and_financial_review_2024.pdf, p. 18, https://www.veolia.com/sites/g/files/dvc4206/files/document/2025/02/Finance_Operating_and_financial_review_2024.pdf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cumulées réalisées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17,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chiffre d'affaires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973.9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69,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chiffre d'affaires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940.3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69,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résultat opérationnel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91.7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70,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résultat opérationnel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92.6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70,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dépréciation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39,778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284,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amortissement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23,644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284,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actifs totaux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1,036,916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284,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prix de cession de Clean Earth à Veolia,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68,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covenant dette nette / EBITDA ajusté après la vente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3.00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68,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passifs environnementaux, part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12,736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251,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passifs environnementaux, part non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38,256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251,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 direct Environmental Services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5,193,290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34,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 direct Safety-Kleen Sustainability Solutions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837,361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34,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EBITDA ajusté Environmental Services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1,343,776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34,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EBITDA ajusté Safety-Kleen Sustainability Solutions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137,454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34,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 direct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6,030.8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EBITDA ajusté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1,169,939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38,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marge d'EBITDA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38,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5,747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9,905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6,201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du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797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1,759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22,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22,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chiffre d'affaires bioénergie, flexibilité, efficacité énergétique (base)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17,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ambition de chiffre d'affaires bioénergie, flexibilité, efficacité énergétique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17,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de fermeture et post-fermeture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135,328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43,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de dépollution (remedial)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95,369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43,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environnementaux totaux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230,697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43,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trésorerie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826,315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53,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titres de placement court terme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127,363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53,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dette long terme hors part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2,763,563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53,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part courante de la dette long terme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12,600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53,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 prévu</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 prévu</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 / dette nette ajustée prévu</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 / dette nette ajustée prévu</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intérêts) / intérêts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5.4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brute publiée (as reported debt)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29,518.0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 pensions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647.0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 titres hybrides (50 % en dette)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 titrisation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1,014.0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ajustements non standard</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brute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34,879.0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trésorerie retenue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9,475.0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(Exhibit 13)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25,404.0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(Exhibit 13)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23,273.0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 titres hybrides (50 % en dette)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1,800.0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EBITDA publié selon Moody's (as reported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6,464.0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6,777.8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(funds from operations)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5,160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(funds from operations)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4,948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(funds from operations)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4,655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dividendes (y compris minoritaires et hybrides)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 (retained cash flow)</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cash-flow opérationnel (CFO)</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free cash flow (après dividendes et capex)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charge d'intérêts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1,162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brute ajustée /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Sous-total des emprunts (dette brute)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29,518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et équivalents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Actifs liquides et actifs liés au financement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1,952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Juste valeur des dérivés de couverture de dette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Sous-total des emprunts (dette brute)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29,283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et équivalents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9,601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F260-1175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Passifs financiers non courants et courants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29,303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F261-adbb</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Passifs financiers non courants et courants : part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8,810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F262-be63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Passifs financiers non courants et courants : part non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20,492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F263-9c0d</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17,992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F264-79b1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9,328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F265-b673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1,983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F266-5358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Passifs financiers non courants et courants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29,085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F267-af42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à moins d'un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1,451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F268-a1f9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à échéance de 1 à 3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4,536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F269-d934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à échéance de 4 à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3,128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F270-167d</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à plus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8,877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F271-543e</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obligataire euro à échéance du 09/06/2026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F272-40a3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obligataire euro à échéance du 30/11/2026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F273-8f68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Émissions obligataires de l'exercice (souscriptions)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1,879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F274-d310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Remboursements obligataires de l'exercice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-1,482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F275-5e72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 obligataire du 17/06/2025, tranche 2032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F276-facd</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 obligataire du 17/06/2025, tranche 2032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3.324 %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 obligataire du 17/06/2025, tranche 2037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 obligataire du 17/06/2025, tranche 2037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3.795 %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43, échéance 14/01/2027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43, échéance 14/01/2027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29 (PEO), échéance 30/03/2027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29 (PEO), échéance 30/03/2027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4.625 %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23, échéance 02/04/2027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23, échéance 02/04/2027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 échéance 08/06/2027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 échéance 08/06/2027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1.904 %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31 (PEO), échéance 10/01/2028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31 (PEO), échéance 10/01/2028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1.590 %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9 (GBP), échéance 02/12/2030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Souches EMTN : nominal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13,831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non courants : valeur nette comptable totale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16,541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à moins d'un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6,890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à échéance de 1 à 3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1,064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à échéance de 4 à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à plus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Billets de trésorerie (commercial paper) de Veolia Environnement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4,933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Titres super-subordonnés dont le remboursement est notifié, payés le 09/02/2026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863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Intérêts courus sur la dette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Remboursement de billets de trésorerie sur l'exercice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1,108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1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2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3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4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plus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Remboursements de dette de loyers IFRS 16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556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Loyers de la période (remboursements, intérêts, loyers variables)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637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capacité d'autofinancement avant variation du BFR</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6,144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capacité d'autofinancement avant variation du BFR</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5,818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du BFR opérationnel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du BFR opérationnel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du BFR des concessions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du BFR des concessions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impôts payés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-596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impôts payés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-579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opérationnelles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5,153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opérationnelles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5,038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investissements industriels nets de subventions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-3,056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remboursements d'actifs financiers opérationnels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dividendes reçus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dividendes reçus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d'investissement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-3,296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d'investissement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-2,115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coût de l'endettement financier net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coût de l'endettement financier net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charge d'impôt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587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charge d'impôt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payés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payés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-585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sur actifs IFRIC 12</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sur actifs IFRIC 12</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sur dette de loyers IFRS 16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sur dette de loyers IFRS 16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coupons des titres super-subordonnés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coupons des titres super-subordonnés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dividendes versés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-1,280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dividendes versés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 de la dette de loyers IFRS 16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 de la dette de loyers IFRS 16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nouveaux emprunts non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nouveaux emprunts non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1,462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remboursements d'emprunts non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remboursements d'emprunts non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des passifs financiers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des passifs financiers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émission / remboursement de titres super-subordonnés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émission / remboursement de titres super-subordonnés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réduction de capital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3,043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2028</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2,447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au-delà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11,065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9,977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2028</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au-delà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1,009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2,162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2028</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au-delà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3,891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2028</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2,407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au-delà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 de crédit syndiquée non tirée (Veolia Environnement)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Lignes de crédit bilatérales MT non tirées (Veolia Environnement)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équivalents, actifs liquides et de financement (Veolia Environnement)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7,551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Lignes de crédit bilatérales des filiales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41, échéance 15/04/2028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41, échéance 15/04/2028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17, échéance 19/05/2028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17, échéance 19/05/2028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34, échéance 04/01/2029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19, échéance 03/04/2029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13, échéance 21/05/2029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38, échéance 07/01/2030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15, échéance 01/07/2030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21, échéance 17/09/2030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investissements industriels nets de subventions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cessions d'actifs industriels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cessions d'actifs industriels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acquisitions de titres (purchases of investments)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acquisitions de titres (purchases of investments)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-482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cessions d'actifs financiers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cessions d'actifs financiers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nouveaux actifs financiers opérationnels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nouveaux actifs financiers opérationnels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remboursements d'actifs financiers opérationnels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transactions avec les minoritaires : achats partiels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-1,563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transactions avec les minoritaires : achats partiels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émission d'actions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émission d'actions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de financement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-3,358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de financement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-1,857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trésorerie nette de clôture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7,806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trésorerie nette de clôture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9,404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22,265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1,924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34,404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9,642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équivalents, actifs liquides et de financement (filiales)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2,422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Dettes courantes, découverts bancaires et autres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9,026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Liquidités nettes des dettes courantes et découverts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6,886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Total des liquidités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17,792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Liquidités nettes des dettes courantes et découverts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8,313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 de crédit syndiquée : échéance après prolongation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2030 année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Lignes de crédit confirmées non tirées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5,938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Lignes de crédit confirmées non tirées : échéance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Total des liquidités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15,911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EBITDA de base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croissance annuelle moyenne de l'EBITDA 2023-2027,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gains d'efficacité par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synergies de coûts attendues en 2024-2025,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synergies Suez cumulées 2022-2025 confirmées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croissance annuelle moyenne du résultat net courant 2023-2027,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69,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Gains d'efficacité annuels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d'EBITDA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15.9 %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du chiffre d'affaires hors prix de l'énergie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du chiffre d'affaires tuck-ins compris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31,205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croissance organique du chiffre d'affaires hors prix de l'énergie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5,383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marge d'EBITDA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Eau municipale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12,739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Eau municipale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2,729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Eau municipale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Réseaux de chaleur et de froid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7,240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Réseaux de chaleur et de froid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1,087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Réseaux de chaleur et de froid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solides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11,226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solides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solides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nombre de tuck-ins intégrés en deux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 tuck-ins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valeur d'entreprise totale des tuck-ins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multiple moyen des tuck-ins,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gains d'efficacité et synergies en deux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2026 : croissance du résultat net courant Clean Earth inclus, au moins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30,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du groupe (IFRS 8.33)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44,396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du groupe (IFRS 8.33)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44,692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France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8,547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États-Unis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4,683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Allemagne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3,097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Espagne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3,035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Pologne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3,007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Royaume-Uni</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République tchèque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Australie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Italie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1,160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Belgique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Belgique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1,084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Hongrie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Hongrie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816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Maroc</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Maroc</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Chine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Chili</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Japon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Hong Kong</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Slovaquie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autres pays (moins de 500 M EUR chacun)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7,207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Tuck-ins 2025 (États-Unis, Brésil, Japon) : montant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Tuck-ins 2025 (États-Unis, Brésil, Japon) : multiple moyen VE / EBITDA,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WTS, rachat des 30 % : multiple VE / EBITDA 2025e après synergies,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finance_veolia_q1_presentation_2025.pdf, p. 11, https://www.veolia.com/sites/g/files/dvc4206/files/document/2025/05/Finance_Veolia_Q1_presentation_2025.pdf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(WM) : valeur d'entreprise,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06/2024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 https://mediaroom.wm.com/2024-06-03-WM-to-Acquire-Stericycle,-a-Leader-in-Medical-Waste-Services,-for-7-2-Billion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(WM) : dette nette comprise dans la valeur d'entreprise,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06/2024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 https://mediaroom.wm.com/2024-06-03-WM-to-Acquire-Stericycle,-a-Leader-in-Medical-Waste-Services,-for-7-2-Billion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(WM) : prix par action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62.00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06/2024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 https://mediaroom.wm.com/2024-06-03-WM-to-Acquire-Stericycle,-a-Leader-in-Medical-Waste-Services,-for-7-2-Billion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(WM) : synergies annuelles attendues,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régime de croisière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 https://mediaroom.wm.com/2024-06-03-WM-to-Acquire-Stericycle,-a-Leader-in-Medical-Waste-Services,-for-7-2-Billion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prix d'acquisition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03/2024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EBITDA ajusté 2023,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chiffre d'affaires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EBITDA ajusté attendu en 2024,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synergies de coûts attendues,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1</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multiple après synergies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7.1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(EQT) : valeur de la transaction, dette comprise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07/2021</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 https://www.prnewswire.com/news-releases/eqt-infrastructure-to-acquire-covanta-holding-corporation-a-global-leader-in-waste-to-energy-solutions-for-usd-5-3-billion-301333761.html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(EQT) : prix par action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20.25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07/2021</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 https://www.prnewswire.com/news-releases/eqt-infrastructure-to-acquire-covanta-holding-corporation-a-global-leader-in-waste-to-energy-solutions-for-usd-5-3-billion-301333761.html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(EQT) : EBITDA ajusté 2021 attendu, bas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2021e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 https://www.prnewswire.com/news-releases/eqt-infrastructure-to-acquire-covanta-holding-corporation-a-global-leader-in-waste-to-energy-solutions-for-usd-5-3-billion-301333761.html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(EQT) : EBITDA ajusté 2021 attendu, haut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480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2021e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 https://www.prnewswire.com/news-releases/eqt-infrastructure-to-acquire-covanta-holding-corporation-a-global-leader-in-waste-to-energy-solutions-for-usd-5-3-billion-301333761.html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chiffre d'affaires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44.4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capex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2024 : capex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2024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2024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2024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19.7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part du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65.7 %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part du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part du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45.7 %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eau et assainissement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eau et assainissement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eau et assainissement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eau et assainissement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pour l'économie circulaire (déchets dangereux compris)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pour l'économie circulaire (déchets dangereux compris)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pour l'économie circulaire (déchets dangereux compris)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pour l'économie circulaire (déchets dangereux compris)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dangereux, prévention de la pollution (PPC 2.1, 2.2)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dangereux, prévention de la pollution (PPC 2.1, 2.2)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dangereux, prévention de la pollution (PPC 2.1, 2.2)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dangereux, prévention de la pollution (PPC 2.1, 2.2)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énergie produite et distribuée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énergie produite et distribuée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énergie produite et distribuée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0.6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énergie produite et distribuée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services énergétiques aux infrastructures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services énergétiques aux infrastructures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services énergétiques aux infrastructures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services énergétiques aux infrastructures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autres activités éligibles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autres activités éligibles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autres activités éligibles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autres activités éligibles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(Republic Services) : valeur totale, dette nette comprise,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02/2022</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 https://www.bicmagazine.com/industry/investment-banking/us-ecology-joins-republic-services/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(Republic Services) : prix par action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48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02/2022</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 https://www.bicmagazine.com/industry/investment-banking/us-ecology-joins-republic-services/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(Republic Services) : EBITDA ajusté 12 mois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156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 30/09/2021</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 https://www.bicmagazine.com/industry/investment-banking/us-ecology-joins-republic-services/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(Republic Services) : chiffre d'affaires 12 mois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968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 30/09/2021</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 https://www.bicmagazine.com/industry/investment-banking/us-ecology-joins-republic-services/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(Republic Services) : synergies attendues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à 3 ans</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 https://www.bicmagazine.com/industry/investment-banking/us-ecology-joins-republic-services/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ACEA, notation et perspective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Baa1 Stable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05/2026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ACEA,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1,415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ACEA, FFO /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ACEA, RCF /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ACEA, dette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4.2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Hera, notation et perspective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Baa1 Stable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05/2026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Hera,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1,476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Hera, FFO /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Hera, RCF /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16.9 %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Hera, dette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Suez, notation et perspective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Baa2 Negative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05/2026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Suez,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1,088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Suez, FFO /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Suez, RCF /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Suez, dette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6.8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Veolia, notation et perspective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Baa1 Stable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05/2026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Sensibilité au change : chiffre d'affaires si les devises s'apprécient de 10 %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2,824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Sensibilité au change : chiffre d'affaires si les devises se déprécient de 10 %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-2,311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Sensibilité au change : résultat opérationnel si les devises s'apprécient de 10 %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Sensibilité au change : résultat opérationnel si les devises se déprécient de 10 %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Sensibilité au change : actif net si les devises s'apprécient de 10 %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1,643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Sensibilité au change : coût de l'endettement financier net si les devises s'apprécient de 10 %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Coût de l'endettement financier net : part libellée en euros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57 %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Coût de l'endettement financier net : part libellée en dollars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brute après couverture : part à taux fixe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56.1 %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brute après couverture : part à taux variable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43.9 %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Position nette à taux variable après couverture (passif)</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libellée en dollars (avant swaps de devises)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2,455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libellée en euros (avant swaps de devises)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23,041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Effet de change sur les obligations en dollars (conversion au cours de clôture)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Effet des prix des commodités (énergie, recyclats) sur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17,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Effet des prix des commodités sur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22,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Hybrides : encours hors coupons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octobre 2020, tranche résiduelle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octobre 2020, tranche résiduelle : coupon jusqu'à la première date de réinitialisation (04/2029)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septembre 2019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septembre 2019 : coupon jusqu'à la première date de réinitialisation (09/2026)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1.625 %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novembre 2021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novembre 2021 : coupon jusqu'à la première date de réinitialisation (02/2028)</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novembre 2023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novembre 2023 : coupon jusqu'à la première date de réinitialisation (02/2029)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mai 2025 (hybride vert)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mai 2025 (hybride vert) : coupon jusqu'à la première date de réinitialisation (08/2030)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4.371 %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septembre 2025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septembre 2025 : coupon jusqu'à la première date de réinitialisation (01/2033)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4.322 %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octobre 2020, première tranche remboursée en février 2026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02/2026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EBITDA 2023 visé, bas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37,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EBITDA 2023 visé, haut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37,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EBITDA 2023 réalisé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37,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résultat net courant 2023 visé,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37,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résultat net courant 2023 réalisé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1 335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37,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levier 2023 réalisé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2.74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37,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chiffre d'affaires déchets liquides et dangereux visé,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35,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chiffre d'affaires déchets liquides et dangereux réalisé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35,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émissions évitées visées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Mt CO2eq</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35,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émissions évitées réalisées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15.5 Mt CO2eq</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35,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plastiques transformés visés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610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35,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plastiques transformés réalisés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465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35,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part de femmes nommées parmi les 500 cadres dirigeants, visée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2020-2023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36,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part de femmes nommées parmi les 500 cadres dirigeants, réalisée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30.7 %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2020-2023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36,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2025 : croissance organique de l'EBITDA, bas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2025 : croissance organique de l'EBITDA, haut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2025 : gains d'efficacité,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2025 : synergies cumulées 2022-2025 visées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2025 : synergies attendues dans l'année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2025 : croissance du résultat net courant,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Résultat net courant 2025 : croissance réalisée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r>
        <w:br w:type="page"/>
      </w:r>
    </w:p>
    <w:p>
      <w:pPr>
        <w:pStyle w:val="Heading1"/>
        <w:spacing w:after="120" w:before="240"/>
      </w:pPr>
      <w:r>
        <w:rPr>
          <w:rFonts w:ascii="Arial" w:cs="Arial" w:eastAsia="Arial" w:hAnsi="Arial"/>
        </w:rPr>
        <w:t xml:space="preserve">Annexe B — Outils d'intelligence artificielle utilisés</w:t>
      </w:r>
    </w:p>
    <w:p>
      <w:pPr>
        <w:pStyle w:val="ListParagraph"/>
        <w:numPr>
          <w:ilvl w:val="0"/>
          <w:numId w:val="4"/>
        </w:numPr>
        <w:spacing w:after="80"/>
      </w:pPr>
      <w:r>
        <w:rPr>
          <w:rFonts w:ascii="Arial" w:cs="Arial" w:eastAsia="Arial" w:hAnsi="Arial"/>
          <w:sz w:val="22"/>
          <w:szCs w:val="22"/>
        </w:rPr>
        <w:t xml:space="preserve">Dataroom : un serveur MCP (Model Context Protocol) privé au groupe, qui indexe les documents publics versés dans le vault et ne sait que chercher, lire une page et citer (fichier, page, URL, date de consultation). Il ne calcule rien et ne résume rien ; il garde pour chaque ligne du registre qui l'a saisie et qui l'a relue.</w:t>
      </w:r>
    </w:p>
    <w:p>
      <w:pPr>
        <w:pStyle w:val="ListParagraph"/>
        <w:numPr>
          <w:ilvl w:val="0"/>
          <w:numId w:val="4"/>
        </w:numPr>
        <w:spacing w:after="80"/>
      </w:pPr>
      <w:r>
        <w:rPr>
          <w:rFonts w:ascii="Arial" w:cs="Arial" w:eastAsia="Arial" w:hAnsi="Arial"/>
          <w:sz w:val="22"/>
          <w:szCs w:val="22"/>
        </w:rPr>
        <w:t xml:space="preserve">Le registre compte 596 chiffres et 30 opérations. 626 lignes y ont été saisies par Claude (Anthropic) à travers le compte partagé du serveur, en recopiant le nombre imprimé sur une page indexée dont le fichier et le numéro sont cités ; 0 ligne par les membres du groupe avec leur compte personnel. 0 ligne sur 626 ont été relues sur la page citée par un membre autre que leur auteur ; 626 ne l'ont pas encore été. Le rapport signale d'un « † » chaque chiffre cité qui n'a pas de second lecteur.</w:t>
      </w:r>
    </w:p>
    <w:p>
      <w:pPr>
        <w:pStyle w:val="ListParagraph"/>
        <w:numPr>
          <w:ilvl w:val="0"/>
          <w:numId w:val="4"/>
        </w:numPr>
        <w:spacing w:after="80"/>
      </w:pPr>
      <w:r>
        <w:rPr>
          <w:rFonts w:ascii="Arial" w:cs="Arial" w:eastAsia="Arial" w:hAnsi="Arial"/>
          <w:sz w:val="22"/>
          <w:szCs w:val="22"/>
        </w:rPr>
        <w:t xml:space="preserve">Claude, via Claude Code, a aussi construit le serveur, les contrôles automatiques (`audit_dataroom`), le générateur du classeur Excel (`build_model.py`), celui des dossiers et celui de ce rapport. Le classeur ne contient que des formules ; ses entrées sont les lignes du registre.</w:t>
      </w:r>
    </w:p>
    <w:p>
      <w:pPr>
        <w:pStyle w:val="ListParagraph"/>
        <w:numPr>
          <w:ilvl w:val="0"/>
          <w:numId w:val="4"/>
        </w:numPr>
        <w:spacing w:after="80"/>
      </w:pPr>
      <w:r>
        <w:rPr>
          <w:rFonts w:ascii="Arial" w:cs="Arial" w:eastAsia="Arial" w:hAnsi="Arial"/>
          <w:sz w:val="22"/>
          <w:szCs w:val="22"/>
        </w:rPr>
        <w:t xml:space="preserve">LibreOffice (recalcul sans interface) : recalcule le classeur après chaque génération et signale toute erreur de formule ; aucune valeur calculée n'est saisie à la main.</w:t>
      </w:r>
    </w:p>
    <w:p>
      <w:pPr>
        <w:pStyle w:val="ListParagraph"/>
        <w:numPr>
          <w:ilvl w:val="0"/>
          <w:numId w:val="4"/>
        </w:numPr>
        <w:spacing w:after="80"/>
      </w:pPr>
      <w:r>
        <w:rPr>
          <w:rFonts w:ascii="Arial" w:cs="Arial" w:eastAsia="Arial" w:hAnsi="Arial"/>
          <w:sz w:val="22"/>
          <w:szCs w:val="22"/>
        </w:rPr>
        <w:t xml:space="preserve">Règle tenue : aucun nombre n'a été inventé ni calculé par un modèle de langage. Chaque nombre du registre est recopié d'une page publique citée ; chaque nombre du classeur est une formule sur ces lignes.</w:t>
      </w:r>
    </w:p>
    <w:p>
      <w:pPr>
        <w:shd w:fill="FFF2A8" w:color="auto" w:val="clear"/>
        <w:spacing w:after="160" w:before="160"/>
      </w:pPr>
      <w:r>
        <w:rPr>
          <w:rFonts w:ascii="Arial" w:cs="Arial" w:eastAsia="Arial" w:hAnsi="Arial"/>
          <w:i/>
          <w:iCs/>
          <w:sz w:val="22"/>
          <w:szCs w:val="22"/>
        </w:rPr>
        <w:t xml:space="preserve">[À rédiger] 08_Livrables/texte/outils-ia.md : ce que le groupe a décidé sans l'outil, les cas où l'outil a été contredit après lecture, puis un tableau membre / outil / usage / période.</w:t>
      </w:r>
    </w:p>
    <w:p>
      <w:r>
        <w:br w:type="page"/>
      </w:r>
    </w:p>
    <w:p>
      <w:pPr>
        <w:pStyle w:val="Heading1"/>
        <w:spacing w:after="120" w:before="240"/>
      </w:pPr>
      <w:r>
        <w:rPr>
          <w:rFonts w:ascii="Arial" w:cs="Arial" w:eastAsia="Arial" w:hAnsi="Arial"/>
        </w:rPr>
        <w:t xml:space="preserve">Contrôle des citations (retiré de la version finale)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26"/>
        <w:gridCol w:w="1500"/>
        <w:gridCol w:w="1500"/>
        <w:gridCol w:w="1500"/>
        <w:gridCol w:w="1500"/>
      </w:tblGrid>
      <w:tr>
        <w:trPr>
          <w:tblHeader/>
        </w:trPr>
        <w:tc>
          <w:tcPr>
            <w:tcW w:type="dxa" w:w="30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Section</w:t>
            </w:r>
          </w:p>
        </w:tc>
        <w:tc>
          <w:tcPr>
            <w:tcW w:type="dxa" w:w="15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Pages (PDF)</w:t>
            </w:r>
          </w:p>
        </w:tc>
        <w:tc>
          <w:tcPr>
            <w:tcW w:type="dxa" w:w="15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Mots</w:t>
            </w:r>
          </w:p>
        </w:tc>
        <w:tc>
          <w:tcPr>
            <w:tcW w:type="dxa" w:w="15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Cible</w:t>
            </w:r>
          </w:p>
        </w:tc>
        <w:tc>
          <w:tcPr>
            <w:tcW w:type="dxa" w:w="15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À rédiger</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role-1.md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role-2.md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role-3.md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role-4.md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44</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role-5.md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role-6.md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recommandation.md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outils-ia.md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w:t>
            </w:r>
          </w:p>
        </w:tc>
      </w:tr>
    </w:tbl>
    <w:p>
      <w:pPr>
        <w:pStyle w:val="Heading2"/>
        <w:spacing w:after="120" w:before="240"/>
      </w:pPr>
      <w:r>
        <w:rPr>
          <w:rFonts w:ascii="Arial" w:cs="Arial" w:eastAsia="Arial" w:hAnsi="Arial"/>
        </w:rPr>
        <w:t xml:space="preserve">Jetons inconnus (0)</w:t>
      </w:r>
    </w:p>
    <w:p>
      <w:pPr>
        <w:spacing w:after="120" w:line="300"/>
      </w:pPr>
      <w:r>
        <w:rPr>
          <w:rFonts w:ascii="Arial" w:cs="Arial" w:eastAsia="Arial" w:hAnsi="Arial"/>
          <w:i/>
          <w:iCs/>
          <w:sz w:val="22"/>
          <w:szCs w:val="22"/>
        </w:rPr>
        <w:t xml:space="preserve">aucun</w:t>
      </w:r>
    </w:p>
    <w:p>
      <w:pPr>
        <w:pStyle w:val="Heading2"/>
        <w:spacing w:after="120" w:before="240"/>
      </w:pPr>
      <w:r>
        <w:rPr>
          <w:rFonts w:ascii="Arial" w:cs="Arial" w:eastAsia="Arial" w:hAnsi="Arial"/>
        </w:rPr>
        <w:t xml:space="preserve">Lignes citées que personne n'a relues (0)</w:t>
      </w:r>
    </w:p>
    <w:p>
      <w:pPr>
        <w:spacing w:after="120" w:line="300"/>
      </w:pPr>
      <w:r>
        <w:rPr>
          <w:rFonts w:ascii="Arial" w:cs="Arial" w:eastAsia="Arial" w:hAnsi="Arial"/>
          <w:i/>
          <w:iCs/>
          <w:sz w:val="22"/>
          <w:szCs w:val="22"/>
        </w:rPr>
        <w:t xml:space="preserve">aucun</w:t>
      </w:r>
    </w:p>
    <w:p>
      <w:pPr>
        <w:pStyle w:val="Heading2"/>
        <w:spacing w:after="120" w:before="240"/>
      </w:pPr>
      <w:r>
        <w:rPr>
          <w:rFonts w:ascii="Arial" w:cs="Arial" w:eastAsia="Arial" w:hAnsi="Arial"/>
        </w:rPr>
        <w:t xml:space="preserve">Lignes citées contestées (0)</w:t>
      </w:r>
    </w:p>
    <w:p>
      <w:pPr>
        <w:spacing w:after="120" w:line="300"/>
      </w:pPr>
      <w:r>
        <w:rPr>
          <w:rFonts w:ascii="Arial" w:cs="Arial" w:eastAsia="Arial" w:hAnsi="Arial"/>
          <w:i/>
          <w:iCs/>
          <w:sz w:val="22"/>
          <w:szCs w:val="22"/>
        </w:rPr>
        <w:t xml:space="preserve">aucun</w:t>
      </w:r>
    </w:p>
    <w:p>
      <w:pPr>
        <w:pStyle w:val="Heading2"/>
        <w:spacing w:after="120" w:before="240"/>
      </w:pPr>
      <w:r>
        <w:rPr>
          <w:rFonts w:ascii="Arial" w:cs="Arial" w:eastAsia="Arial" w:hAnsi="Arial"/>
        </w:rPr>
        <w:t xml:space="preserve">Fichiers absents ou vides</w:t>
      </w:r>
    </w:p>
    <w:p>
      <w:pPr>
        <w:spacing w:after="120" w:line="300"/>
      </w:pPr>
      <w:r>
        <w:rPr>
          <w:rFonts w:ascii="Arial" w:cs="Arial" w:eastAsia="Arial" w:hAnsi="Arial"/>
          <w:i/>
          <w:iCs/>
          <w:sz w:val="22"/>
          <w:szCs w:val="22"/>
        </w:rPr>
        <w:t xml:space="preserve">aucun</w:t>
      </w:r>
    </w:p>
    <w:p>
      <w:pPr>
        <w:pStyle w:val="Heading2"/>
        <w:spacing w:after="120" w:before="240"/>
      </w:pPr>
      <w:r>
        <w:rPr>
          <w:rFonts w:ascii="Arial" w:cs="Arial" w:eastAsia="Arial" w:hAnsi="Arial"/>
        </w:rPr>
        <w:t xml:space="preserve">Chiffres du registre jamais cités par leur rôle</w:t>
      </w:r>
    </w:p>
    <w:p>
      <w:pPr>
        <w:pStyle w:val="ListParagraph"/>
        <w:numPr>
          <w:ilvl w:val="0"/>
          <w:numId w:val="4"/>
        </w:numPr>
        <w:spacing w:after="80"/>
      </w:pPr>
      <w:r>
        <w:rPr>
          <w:rFonts w:ascii="Arial" w:cs="Arial" w:eastAsia="Arial" w:hAnsi="Arial"/>
          <w:sz w:val="22"/>
          <w:szCs w:val="22"/>
        </w:rPr>
        <w:t xml:space="preserve">rôle 1 : 16 — F2, F18, F32, F90, F91, F92, F129, F130, F131, F132, F133, F134, F135, F136, F137, F138</w:t>
      </w:r>
    </w:p>
    <w:p>
      <w:pPr>
        <w:pStyle w:val="ListParagraph"/>
        <w:numPr>
          <w:ilvl w:val="0"/>
          <w:numId w:val="4"/>
        </w:numPr>
        <w:spacing w:after="80"/>
      </w:pPr>
      <w:r>
        <w:rPr>
          <w:rFonts w:ascii="Arial" w:cs="Arial" w:eastAsia="Arial" w:hAnsi="Arial"/>
          <w:sz w:val="22"/>
          <w:szCs w:val="22"/>
        </w:rPr>
        <w:t xml:space="preserve">rôle 2 : 245 — F1, F3, F6, F8, F10, F11, F12, F14, F16, F17, F19, F20, F22, F23, F26, F51, F55, F56, F57, F66 …</w:t>
      </w:r>
    </w:p>
    <w:p>
      <w:pPr>
        <w:pStyle w:val="ListParagraph"/>
        <w:numPr>
          <w:ilvl w:val="0"/>
          <w:numId w:val="4"/>
        </w:numPr>
        <w:spacing w:after="80"/>
      </w:pPr>
      <w:r>
        <w:rPr>
          <w:rFonts w:ascii="Arial" w:cs="Arial" w:eastAsia="Arial" w:hAnsi="Arial"/>
          <w:sz w:val="22"/>
          <w:szCs w:val="22"/>
        </w:rPr>
        <w:t xml:space="preserve">rôle 3 : 118 — F4, F5, F7, F9, F13, F15, F21, F24, F25, F27, F28, F29, F30, F31, F53, F64, F65, F67, F68, F69 …</w:t>
      </w:r>
    </w:p>
    <w:p>
      <w:pPr>
        <w:pStyle w:val="ListParagraph"/>
        <w:numPr>
          <w:ilvl w:val="0"/>
          <w:numId w:val="4"/>
        </w:numPr>
        <w:spacing w:after="80"/>
      </w:pPr>
      <w:r>
        <w:rPr>
          <w:rFonts w:ascii="Arial" w:cs="Arial" w:eastAsia="Arial" w:hAnsi="Arial"/>
          <w:sz w:val="22"/>
          <w:szCs w:val="22"/>
        </w:rPr>
        <w:t xml:space="preserve">rôle 4 : 111 — F33, F34, F35, F36, F37, F38, F39, F40, F41, F52, F54, F58, F59, F60, F61, F62, F63, F93, F94, F95 …</w:t>
      </w:r>
    </w:p>
    <w:p>
      <w:pPr>
        <w:pStyle w:val="ListParagraph"/>
        <w:numPr>
          <w:ilvl w:val="0"/>
          <w:numId w:val="4"/>
        </w:numPr>
        <w:spacing w:after="80"/>
      </w:pPr>
      <w:r>
        <w:rPr>
          <w:rFonts w:ascii="Arial" w:cs="Arial" w:eastAsia="Arial" w:hAnsi="Arial"/>
          <w:sz w:val="22"/>
          <w:szCs w:val="22"/>
        </w:rPr>
        <w:t xml:space="preserve">rôle 5 : 66 — F42, F43, F44, F45, F98, F99, F100, F101, F102, F103, F104, F105, F106, F107, F108, F109, F127, F128, F218, F219 …</w:t>
      </w:r>
    </w:p>
    <w:p>
      <w:pPr>
        <w:pStyle w:val="ListParagraph"/>
        <w:numPr>
          <w:ilvl w:val="0"/>
          <w:numId w:val="4"/>
        </w:numPr>
        <w:spacing w:after="80"/>
      </w:pPr>
      <w:r>
        <w:rPr>
          <w:rFonts w:ascii="Arial" w:cs="Arial" w:eastAsia="Arial" w:hAnsi="Arial"/>
          <w:sz w:val="22"/>
          <w:szCs w:val="22"/>
        </w:rPr>
        <w:t xml:space="preserve">rôle 6 : 40 — F46, F47, F48, F49, F50, F76, F77, F209, F210, F211, F212, F213, F214, F215, F216, F443, F444, F445, F471, F472 …</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abstractNum w:abstractNumId="10"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GreenUp 2027 : combien Veolia peut-elle encore acheter sans dépasser ses engagements de levier ?</dc:title>
  <dc:creator>Groupe sujet 2</dc:creator>
  <cp:lastModifiedBy>Un-named</cp:lastModifiedBy>
  <cp:revision>1</cp:revision>
  <dcterms:created xsi:type="dcterms:W3CDTF">2026-10-06T17:45:07.940Z</dcterms:created>
  <dcterms:modified xsi:type="dcterms:W3CDTF">2026-10-06T17:45:07.941Z</dcterms:modified>
</cp:coreProperties>
</file>

<file path=docProps/custom.xml><?xml version="1.0" encoding="utf-8"?>
<Properties xmlns="http://schemas.openxmlformats.org/officeDocument/2006/custom-properties" xmlns:vt="http://schemas.openxmlformats.org/officeDocument/2006/docPropsVTypes"/>
</file>