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(487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11,52x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11,52x (HEPACO par Clean Harbors, Covanta par EQT, US Ecology par Republic quand le communiqué est versé) ; HEPACO ressort à 7,1x après synergies. Clean Earth avant synergies dépasse de 3,48x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487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487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4"/>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207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97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109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60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35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2026-10-06T11:32:59.428Z</dcterms:created>
  <dcterms:modified xsi:type="dcterms:W3CDTF">2026-10-06T11:32:59.428Z</dcterms:modified>
</cp:coreProperties>
</file>

<file path=docProps/custom.xml><?xml version="1.0" encoding="utf-8"?>
<Properties xmlns="http://schemas.openxmlformats.org/officeDocument/2006/custom-properties" xmlns:vt="http://schemas.openxmlformats.org/officeDocument/2006/docPropsVTypes"/>
</file>