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(670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ad3156luhdlgoqgjxox2q">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26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 Tradebe Environmental Services : prix non publié ; Augean : prix non publié ; Enva : prix non publié ; AVR : prix non publié ; Groupe Flamme (A.R.F., Flamme Environnement, Flamme Assainissement) : prix non publié ; Activités déchets dangereux France de SUEZ (ex-SARPI cédées par Veolia) : prix non publié ; Greenthesis : prix non publié ; Currenta — services de gestion et de traitement des déchets : prix non publié ; GSB Sonderabfall-Entsorgung Bayern : prix non publié ; Séché Environnement : prix non publié ; Urbaser — Industrial Waste Treatment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Quest Resource Holding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QRHC) ; T15 — FINAL-QRHC-1Q26-Earnings-Release-5-7-26.pdf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Indaver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Katoen Natie (filiale) ; T16 — indaver_dzr_2025_en.pdf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Tradebe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Tradebe, privé non coté (fondé et présidé par Josep Creixell) ; T17 — tradebe-refuerza-su-presencia-en-reino-unido</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Augean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Eleia (fonds Ancala Partners et Fiera Infrastructure), depuis 2021 ; T18 — winning-bid-made-in-battle-to-acquire-waste-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 Squared Capital (ISQ Global Infrastructure Fund III), depuis 2023 ; T19 — enva-announces-agreement-to-be-acquired-by-i</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AVR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Consortium mené par CK Infrastructure Holdings (CKI), depuis 2013 ; T20 — avr-annual-report-2024-resolve-web-1.pdf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Groupe Flamme (A.R.F., Flamme Environnement, Flamme Assainissement)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Actionnaires familiaux, sous promesse unilatérale d'achat de Séché Environnement (juin 2025) ; T21 — 25-06-cp-flamme.pdf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Activités déchets dangereux France de SUEZ (ex-SARPI cédées par Veolia)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SUEZ (depuis le 30/11/2022) ; T22 — cp-suez-reprend-essentiel-activites-secteur-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Greenthesis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Famille Grossi (60 %) et Patrizia (40 %), retirée de la cote ; T23 — alla-tedesca-patrizia-il-40-di-greenthesis-2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Currenta — services de gestion et de traitement des déchets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Macquarie Infrastructure and Real Assets (Macquarie), depuis 2020 ; T24 — lanxess-completes-sale-of-its-currenta-stake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GSB Sonderabfall-Entsorgung Bayern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None ; T25 — sicherheit-ist-oberstes-ziel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Séché Environnement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Coté (Euronext Paris), groupe industriel familial ; T26 — seche_environnement_deu_2025_fr.pdf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Urbaser — Industrial Waste Treatment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Blackstone et EQT (accord du 12/02/2026 avec Platinum Equity) ; T27 — platinum-equity-to-sell-global-environmental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26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 Indaver : prix non publié ; Tradebe Environmental Services : prix non publié ; Augean : prix non publié ; Enva : prix non publié ; AVR : prix non publié ; Groupe Flamme (A.R.F., Flamme Environnement, Flamme Assainissement) : prix non publié ; Activités déchets dangereux France de SUEZ (ex-SARPI cédées par Veolia) : prix non publié ; Greenthesis : prix non publié ; Currenta — services de gestion et de traitement des déchets : prix non publié ; GSB Sonderabfall-Entsorgung Bayern : prix non publié ; Séché Environnement : prix non publié ; Urbaser — Industrial Waste Treatment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670 chiffres du registre (0 relus) et les 58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26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670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États-Unis : part de l'EBITDA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États-Unis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États-Unis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12,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10,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Incinération commerciale : carnet de commandes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 : croissance annuelle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 États-Unis, déchets dangereux : croissance annuelle moyenne du chiffre d'affaires 2019-2023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44,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Marché américain accessible des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deep_dive_veolia_in_the_us_presentation-eng.pdf, p. 45, https://www.veolia.com/sites/g/files/dvc4206/files/document/2024/04/Deep_Dive_VEOLIA_in_the_US_Presentation-ENG.pdf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part du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Water Technologies,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76,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70,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PFAS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8,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de levier 2025 (ratio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de croissance (growth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13,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Lydec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moyen total du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en Allemagne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de croissance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Sade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 RGS : effet sur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24,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industrielles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20,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 croissance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22,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par action, part du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27,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Capex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29,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de septembre 2024, tranche 10 ans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31,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670 chiffres et 58 opérations. 678 lignes y ont été saisies par Claude (Anthropic) à travers le compte partagé du serveur, en recopiant le nombre imprimé sur une page indexée dont le fichier et le numéro sont cités ; 50 lignes par l'API Claude (lecture de chaque page du vault, sous l'identité claude-api, avec un contrôle automatique que le nombre et sa citation sont sur la page) ; 0 ligne par les membres du groupe avec leur compte personnel. 0 ligne sur 728 ont été relues sur la page citée par un membre autre que leur auteur ; 728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20 — F2, F18, F32, F90, F91, F92, F129, F130, F131, F132, F133, F134, F135, F136, F137, F138, F654, F659, F661, F662</w:t>
      </w:r>
    </w:p>
    <w:p>
      <w:pPr>
        <w:pStyle w:val="ListParagraph"/>
        <w:numPr>
          <w:ilvl w:val="0"/>
          <w:numId w:val="5"/>
        </w:numPr>
        <w:spacing w:after="80"/>
      </w:pPr>
      <w:r>
        <w:rPr>
          <w:rFonts w:ascii="Arial" w:cs="Arial" w:eastAsia="Arial" w:hAnsi="Arial"/>
          <w:sz w:val="22"/>
          <w:szCs w:val="22"/>
        </w:rPr>
        <w:t xml:space="preserve">rôle 2 : 256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131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133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d3156luhdlgoqgjxox2q"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2026-10-10T17:04:43.334Z</dcterms:created>
  <dcterms:modified xsi:type="dcterms:W3CDTF">2026-10-10T17:04:43.335Z</dcterms:modified>
</cp:coreProperties>
</file>

<file path=docProps/custom.xml><?xml version="1.0" encoding="utf-8"?>
<Properties xmlns="http://schemas.openxmlformats.org/officeDocument/2006/custom-properties" xmlns:vt="http://schemas.openxmlformats.org/officeDocument/2006/docPropsVTypes"/>
</file>