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(561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14,10x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4"/>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14,10x (HEPACO par Clean Harbors, Covanta par EQT, US Ecology par Republic quand le communiqué est versé) ; HEPACO ressort à 7,1x après synergies. Clean Earth avant synergies dépasse de 0,90x le plus cher du secteur : les synergies « achètent » 5,20x de multiple. D'où la grille : 8x, 9,8x, 12x.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561 chiffres du registre et les 26 deals : aucun n'a encore de relecteur.</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561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privé au groupe, qui indexe les documents publics versés dans le vault et ne sait que chercher, lire une page et citer (fichier, page, URL, date de consultation). Il ne calcule rien, ne résume rien et ne produit aucun chiffre : chaque chiffre du registre a été lu par un membre sur la page citée, puis relu par un autre.</w:t>
      </w:r>
    </w:p>
    <w:p>
      <w:pPr>
        <w:pStyle w:val="ListParagraph"/>
        <w:numPr>
          <w:ilvl w:val="0"/>
          <w:numId w:val="4"/>
        </w:numPr>
        <w:spacing w:after="80"/>
      </w:pPr>
      <w:r>
        <w:rPr>
          <w:rFonts w:ascii="Arial" w:cs="Arial" w:eastAsia="Arial" w:hAnsi="Arial"/>
          <w:sz w:val="22"/>
          <w:szCs w:val="22"/>
        </w:rPr>
        <w:t xml:space="preserve">Claude (Anthropic), via Claude Code : a construit le serveur, le registre, les contrôles automatiques, le générateur du classeur Excel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aucune source et aucune citation n'ont été produits par un modèle de langage. Le modèle construit l'outil qui calcule ; il ne calcule pas.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231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105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109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60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40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2026-10-06T14:47:03.429Z</dcterms:created>
  <dcterms:modified xsi:type="dcterms:W3CDTF">2026-10-06T14:47:03.430Z</dcterms:modified>
</cp:coreProperties>
</file>

<file path=docProps/custom.xml><?xml version="1.0" encoding="utf-8"?>
<Properties xmlns="http://schemas.openxmlformats.org/officeDocument/2006/custom-properties" xmlns:vt="http://schemas.openxmlformats.org/officeDocument/2006/docPropsVTypes"/>
</file>