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(470 chiffres sourcés ; contrôles du classeur : OK). Chaque chiffre cité renvoie à l'annexe A : fichier, page, URL, date de consultation. Les passages surlignés sont à rédiger par l'auteur de la section.</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−0,50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La recommandation en trois phrases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(−500 M€).</w:t>
      </w:r>
    </w:p>
    <w:p>
      <w:pPr>
        <w:pStyle w:val="Heading2"/>
        <w:spacing w:after="120" w:before="240"/>
      </w:pPr>
      <w:r>
        <w:rPr>
          <w:rFonts w:ascii="Arial" w:cs="Arial" w:eastAsia="Arial" w:hAnsi="Arial"/>
        </w:rPr>
        <w:t xml:space="preserve">Raisonnement</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−500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−500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Fin 2027, la marge centrale permet une acquisition d'environ 2,3 Md€ au multiple de Clean Earth, moins que Clean Earth lui-même (2,8 Md€). Dans le scénario défavorable, rien.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2,51 Md€ en central, 0 en défavorable, 5,59 Md€ en favorable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reste à construire : aucun document de la dataroom ne nomme une cible disponible ; les candidats viendront de la presse et des rapports de pairs, chacun avec sa valeur publiée ou « non communiqué ».</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5"/>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5 031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470 chiffres du registre et les 26 deals : aucun n'a encore de relecteur.</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470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5"/>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squelette.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Ce que le groupe a décidé sans l'outil : le choix des hypothèses, la recommandation, les cas où l'outil a été contredit après lecture. Puis un tableau : membre, outil, usage, période.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2026-10-06T10:58:00.426Z</dcterms:created>
  <dcterms:modified xsi:type="dcterms:W3CDTF">2026-10-06T10:58:00.426Z</dcterms:modified>
</cp:coreProperties>
</file>

<file path=docProps/custom.xml><?xml version="1.0" encoding="utf-8"?>
<Properties xmlns="http://schemas.openxmlformats.org/officeDocument/2006/custom-properties" xmlns:vt="http://schemas.openxmlformats.org/officeDocument/2006/docPropsVTypes"/>
</file>