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(615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14,10x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14,10x (HEPACO par Clean Harbors, Covanta par EQT, US Ecology par Republic quand le communiqué est versé) ; HEPACO ressort à 7,1x après synergies. Clean Earth avant synergies dépasse de 0,90x le plus cher du secteur : les synergies « achètent » 5,20x de multiple. D'où la grille : 8x, 9,8x, 12x.</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615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615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4"/>
        </w:numPr>
        <w:spacing w:after="80"/>
      </w:pPr>
      <w:r>
        <w:rPr>
          <w:rFonts w:ascii="Arial" w:cs="Arial" w:eastAsia="Arial" w:hAnsi="Arial"/>
          <w:sz w:val="22"/>
          <w:szCs w:val="22"/>
        </w:rPr>
        <w:t xml:space="preserve">Le registre compte 615 chiffres et 37 opérations. 652 lignes y ont été saisies par Claude (Anthropic) à travers le compte partagé du serveur, en recopiant le nombre imprimé sur une page indexée dont le fichier et le numéro sont cités ; 0 ligne par les membres du groupe avec leur compte personnel. 0 ligne sur 652 ont été relues sur la page citée par un membre autre que leur auteur ; 652 ne l'ont pas encore été. Le rapport signale d'un « † » chaque chiffre cité qui n'a pas de second lecteur.</w:t>
      </w:r>
    </w:p>
    <w:p>
      <w:pPr>
        <w:pStyle w:val="ListParagraph"/>
        <w:numPr>
          <w:ilvl w:val="0"/>
          <w:numId w:val="4"/>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59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2026-10-06T19:10:05.500Z</dcterms:created>
  <dcterms:modified xsi:type="dcterms:W3CDTF">2026-10-06T19:10:05.500Z</dcterms:modified>
</cp:coreProperties>
</file>

<file path=docProps/custom.xml><?xml version="1.0" encoding="utf-8"?>
<Properties xmlns="http://schemas.openxmlformats.org/officeDocument/2006/custom-properties" xmlns:vt="http://schemas.openxmlformats.org/officeDocument/2006/docPropsVTypes"/>
</file>