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(417 chiffres sourcés ; contrôles du classeur : OK). Chaque chiffre cité renvoie à l'annexe A : fichier, page, URL, date de consultation. Les passages surlignés sont à rédiger par l'auteur de la section.</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−0,50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La recommandation en trois phrases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(−500 M€).</w:t>
      </w:r>
    </w:p>
    <w:p>
      <w:pPr>
        <w:pStyle w:val="Heading2"/>
        <w:spacing w:after="120" w:before="240"/>
      </w:pPr>
      <w:r>
        <w:rPr>
          <w:rFonts w:ascii="Arial" w:cs="Arial" w:eastAsia="Arial" w:hAnsi="Arial"/>
        </w:rPr>
        <w:t xml:space="preserve">Raisonnement</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−500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−500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Booster</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w:t>
      </w:r>
    </w:p>
    <w:p>
      <w:pPr>
        <w:pStyle w:val="Heading2"/>
        <w:spacing w:after="120" w:before="240"/>
      </w:pPr>
      <w:r>
        <w:rPr>
          <w:rFonts w:ascii="Arial" w:cs="Arial" w:eastAsia="Arial" w:hAnsi="Arial"/>
        </w:rPr>
        <w:t xml:space="preserve">Raisonnement</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Fin 2027, la marge centrale permet une acquisition d'environ 2,3 Md€ au multiple de Clean Earth, moins que Clean Earth lui-même (2,8 Md€). Dans le scénario défavorable, rien.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2,51 Md€ en central, 0 en défavorable, 5,59 Md€ en favorable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reste à construire : aucun document de la dataroom ne nomme une cible disponible ; les candidats viendront de la presse et des rapports de pairs, chacun avec sa valeur publiée ou « non communiqué ».</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5"/>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5 031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417 chiffres du registre et les 26 deals : aucun n'a encore de relecteur.</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417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privé au groupe, qui indexe les documents publics versés dans le vault et ne sait que chercher, lire une page et citer (fichier, page, URL, date de consultation). Il ne calcule rien, ne résume rien et ne produit aucun chiffre : chaque chiffre du registre a été lu par un membre sur la page citée, puis relu par un autre.</w:t>
      </w:r>
    </w:p>
    <w:p>
      <w:pPr>
        <w:pStyle w:val="ListParagraph"/>
        <w:numPr>
          <w:ilvl w:val="0"/>
          <w:numId w:val="5"/>
        </w:numPr>
        <w:spacing w:after="80"/>
      </w:pPr>
      <w:r>
        <w:rPr>
          <w:rFonts w:ascii="Arial" w:cs="Arial" w:eastAsia="Arial" w:hAnsi="Arial"/>
          <w:sz w:val="22"/>
          <w:szCs w:val="22"/>
        </w:rPr>
        <w:t xml:space="preserve">Claude (Anthropic), via Claude Code : a construit le serveur, le registre, les contrôles automatiques, le générateur du classeur Excel et celui de ce squelette.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aucune source et aucune citation n'ont été produits par un modèle de langage. Le modèle construit l'outil qui calcule ; il ne calcule pas.</w:t>
      </w:r>
    </w:p>
    <w:p>
      <w:pPr>
        <w:shd w:fill="FFF2A8" w:color="auto" w:val="clear"/>
        <w:spacing w:after="160" w:before="160"/>
      </w:pPr>
      <w:r>
        <w:rPr>
          <w:rFonts w:ascii="Arial" w:cs="Arial" w:eastAsia="Arial" w:hAnsi="Arial"/>
          <w:i/>
          <w:iCs/>
          <w:sz w:val="22"/>
          <w:szCs w:val="22"/>
        </w:rPr>
        <w:t xml:space="preserve">[À rédiger] Ce que le groupe a décidé sans l'outil : le choix des hypothèses, la recommandation, les cas où l'outil a été contredit après lecture. Puis un tableau : membre, outil, usage, période.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2026-10-06T10:40:13.267Z</dcterms:created>
  <dcterms:modified xsi:type="dcterms:W3CDTF">2026-10-06T10:40:13.267Z</dcterms:modified>
</cp:coreProperties>
</file>

<file path=docProps/custom.xml><?xml version="1.0" encoding="utf-8"?>
<Properties xmlns="http://schemas.openxmlformats.org/officeDocument/2006/custom-properties" xmlns:vt="http://schemas.openxmlformats.org/officeDocument/2006/docPropsVTypes"/>
</file>