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2026-10-10 depuis la dataroom du groupe (670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_e0lfggk6cbuokwsh5qkb">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15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 ; Indaver : prix non publié.</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depuis 2024) ; T7 — enviracore-lancement-2025-09-30.html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lower middle market, depuis le 30/09/2025) ; T8 — bizwire-2025-9-30-seaside-equity-partners-la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Envisol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Géotec (depuis le 20/02/2025), lui-même sous LBO avec Naxicap Partners, BDR Invest et Jadel ; T9 — geotec-2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Onterris (ex-Montrose Environmental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(NYSE: ONT) ; T10 — 0001193125-26-335022.pdf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Perma-Fix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PESI) ; T11 — formars.pdf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Chemtron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Kinderhook Industries (private equity, since 2019) ; T12 —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Cleanaway — Oils &amp; Technical Services and Health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Cleanaway Waste Management Limited (ASX: CWY), under non-binding EQT Infrastructure proposal ; T13 — 072pv5zdfnn9vx.pdf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Daiseki Co., Ltd.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(TSE Prime: 9793) ; T14 — print.pdf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Quest Resource Holding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QRHC) ; T15 — FINAL-QRHC-1Q26-Earnings-Release-5-7-26.pdf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Indaver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Katoen Natie (filiale) ; T16 — indaver_dzr_2025_en.pdf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15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 ; Indaver : prix non publié.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670 chiffres du registre (0 relus) et les 58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15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670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 (Enviracore) : salariés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emi-entretien-2019-01-31.html, p. 1, http://podcast.madepossibleby.us/blog/2019/1/31/environmental-management-services-from-a-garage-startup-to-guthries-business-of-the-year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salariés,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implantations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États-Unis : part de l'EBITDA du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États-Unis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États-Unis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Incinération commerciale : carnet de commandes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Marché américain accessible des déchets dangereux : croissance annuelle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 États-Unis, déchets dangereux : croissance annuelle moyenne du chiffre d'affaires 2019-2023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44,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Marché américain accessible des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part du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Water Technologies,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70,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70,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PFAS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8,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de levier 2025 (ratio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de croissance (growth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13,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Lydec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moyen total du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22,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en Allemagne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Capex de croissance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Sade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RGS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industrielles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 croissance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22,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par action, part du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Capex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de septembre 2024, tranche 10 ans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de septembre 2024, tranche 10 ans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 il garde pour chaque ligne du registre qui l'a saisie et qui l'a relue. Les résumés de pages que l'API Claude a écrits pour la recherche sont signalés comme tels dans chaque résultat et ne sont jamais cités.</w:t>
      </w:r>
    </w:p>
    <w:p>
      <w:pPr>
        <w:pStyle w:val="ListParagraph"/>
        <w:numPr>
          <w:ilvl w:val="0"/>
          <w:numId w:val="5"/>
        </w:numPr>
        <w:spacing w:after="80"/>
      </w:pPr>
      <w:r>
        <w:rPr>
          <w:rFonts w:ascii="Arial" w:cs="Arial" w:eastAsia="Arial" w:hAnsi="Arial"/>
          <w:sz w:val="22"/>
          <w:szCs w:val="22"/>
        </w:rPr>
        <w:t xml:space="preserve">Le registre compte 670 chiffres et 58 opérations. 678 lignes y ont été saisies par Claude (Anthropic) à travers le compte partagé du serveur, en recopiant le nombre imprimé sur une page indexée dont le fichier et le numéro sont cités ; 50 lignes par l'API Claude (lecture de chaque page du vault, sous l'identité claude-api, avec un contrôle automatique que le nombre et sa citation sont sur la page) ; 0 ligne par les membres du groupe avec leur compte personnel. 0 ligne sur 728 ont été relues sur la page citée par un membre autre que leur auteur ; 728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20 — F2, F18, F32, F90, F91, F92, F129, F130, F131, F132, F133, F134, F135, F136, F137, F138, F654, F659, F661, F662</w:t>
      </w:r>
    </w:p>
    <w:p>
      <w:pPr>
        <w:pStyle w:val="ListParagraph"/>
        <w:numPr>
          <w:ilvl w:val="0"/>
          <w:numId w:val="5"/>
        </w:numPr>
        <w:spacing w:after="80"/>
      </w:pPr>
      <w:r>
        <w:rPr>
          <w:rFonts w:ascii="Arial" w:cs="Arial" w:eastAsia="Arial" w:hAnsi="Arial"/>
          <w:sz w:val="22"/>
          <w:szCs w:val="22"/>
        </w:rPr>
        <w:t xml:space="preserve">rôle 2 : 256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131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133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64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_e0lfggk6cbuokwsh5qkb"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2026-10-10T16:40:51.097Z</dcterms:created>
  <dcterms:modified xsi:type="dcterms:W3CDTF">2026-10-10T16:40:51.097Z</dcterms:modified>
</cp:coreProperties>
</file>

<file path=docProps/custom.xml><?xml version="1.0" encoding="utf-8"?>
<Properties xmlns="http://schemas.openxmlformats.org/officeDocument/2006/custom-properties" xmlns:vt="http://schemas.openxmlformats.org/officeDocument/2006/docPropsVTypes"/>
</file>