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2026-10-10 depuis la dataroom du groupe (620 chiffres sourcés ; contrôles du classeur : OK). Chaque chiffre cité renvoie à l'annexe A : fichier, page, URL, date de consultation. Les passages surlignés sont à rédiger par l'auteur de la section ; « † » après un identifiant : ligne que personne n'a encore relue.</w:t>
      </w:r>
    </w:p>
    <w:p>
      <w:pPr>
        <w:spacing w:before="240"/>
        <w:jc w:val="center"/>
      </w:pPr>
      <w:r>
        <w:rPr>
          <w:rFonts w:ascii="Arial" w:cs="Arial" w:eastAsia="Arial" w:hAnsi="Arial"/>
          <w:color w:val="555555"/>
          <w:sz w:val="18"/>
          <w:szCs w:val="18"/>
        </w:rPr>
        <w:t xml:space="preserve">Édition vérifiable, où chaque chiffre ouvre sa page source : </w:t>
      </w:r>
      <w:hyperlink w:history="1" r:id="rIdzwpfwjeydgcahvqo8ospt">
        <w:r>
          <w:rPr>
            <w:rStyle w:val="Hyperlink"/>
            <w:rFonts w:ascii="Arial" w:cs="Arial" w:eastAsia="Arial" w:hAnsi="Arial"/>
            <w:sz w:val="18"/>
            <w:szCs w:val="18"/>
          </w:rPr>
          <w:t xml:space="preserve">https://dataroom.is42.fr:8443/visualisation/rapport.html</w:t>
        </w:r>
      </w:hyperlink>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 (généré)</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08_Livrables/texte/role-1.md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 (généré)</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08_Livrables/texte/role-2.md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(−535 M€). Mais « tout en même temps » n'arrive presque jamais : sur 1 000 futurs tirés entre les bornes de chaque hypothèse, avec un facteur conjoncture commun (corrélation 0,4), 100 % tiennent les deux plafonds fin 2027 ; la marge contraignante médiane est de 1 460 M€, et 95 % des futurs dépassent 730 M€. Le risque n'est pas de franchir le plafond par la conjoncture : c'est de le franchir par une décision (une acquisition trop grande).</w:t>
      </w:r>
    </w:p>
    <w:p>
      <w:pPr>
        <w:pStyle w:val="Heading2"/>
        <w:spacing w:after="120" w:before="240"/>
      </w:pPr>
      <w:r>
        <w:rPr>
          <w:rFonts w:ascii="Arial" w:cs="Arial" w:eastAsia="Arial" w:hAnsi="Arial"/>
        </w:rPr>
        <w:t xml:space="preserve">Raisonnement (généré)</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−535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08_Livrables/texte/role-3.md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Votre fourchette est-elle une probabilité ?</w:t>
      </w:r>
    </w:p>
    <w:p>
      <w:pPr>
        <w:spacing w:after="120" w:line="300"/>
      </w:pPr>
      <w:r>
        <w:rPr>
          <w:rFonts w:ascii="Arial" w:cs="Arial" w:eastAsia="Arial" w:hAnsi="Arial"/>
          <w:sz w:val="22"/>
          <w:szCs w:val="22"/>
        </w:rPr>
        <w:t xml:space="preserve">Oui depuis l'onglet Distribution : chaque hypothèse est tirée dans une loi triangulaire entre ses bornes (le sommet à la base), un facteur « conjoncture » fait bouger ensemble croissance, cash-flow, cessions et multiples (poids 0,4, hypothèse du groupe). Sur 1 000 futurs : 100 % tiennent les deux plafonds, 0 % passent sous le seuil S&amp;P fin 2026, 40 % atteignent 8 Md€ d'EBITDA. Les tirages sont fixés par une graine : le classeur redonne les mêmes nombres, et le simulateur web, qui lit les mêmes formules, aussi.</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 (généré)</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08_Livrables/texte/role-4.md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 (généré)</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08_Livrables/texte/role-5.md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 (générée depuis le classeur, à réécrire)</w:t>
      </w:r>
    </w:p>
    <w:p>
      <w:pPr>
        <w:spacing w:after="120" w:line="300"/>
      </w:pPr>
      <w:r>
        <w:rPr>
          <w:rFonts w:ascii="Arial" w:cs="Arial" w:eastAsia="Arial" w:hAnsi="Arial"/>
          <w:sz w:val="22"/>
          <w:szCs w:val="22"/>
        </w:rPr>
        <w:t xml:space="preserve">Fin 2027, la marge centrale permet une acquisition d'environ 2,3 Md€ au multiple de Clean Earth (médiane des 1 000 futurs tirés : 2,15 Md€ ; 80 % entre 1,33 et 3,07 Md€ ; probabilité de pouvoir acheter 1 Md€ : 97 %, 2 Md€ : 60 %, 3 Md€ : 12 %), moins que Clean Earth lui-même (2,8 Md€). Dans le scénario défavorable, rien. Une cible de 3 Md€ à 9,8x laisserait 511 M€ à trouver sous 3x fin 2027 : 511 M€ d'hybrides (22 M€ de coupon par an), ou 730 M€ de cessions accélérées (73 M€ d'EBITDA perdu par an), ou une augmentation de capital diluant de 2,4 % ; sans financement, elle ne tient que payée moins de 6,7x.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 (généré)</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(9,8x), 2,26 Md€ en central, 0,00 en défavorable, 5,03 Md€ en favorable ; à 8x, 2,51 Md€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 13 cibles sourcées, toutes détenues par des fonds entrés entre 2023 et 2025 (Cibles §C). 4 ont une valeur publiée ; 3 tiennent dans la marge centrale au multiple retenu (12,81x, médiane du secteur avant synergies).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w:t>
      </w:r>
    </w:p>
    <w:p>
      <w:pPr>
        <w:pStyle w:val="ListParagraph"/>
        <w:numPr>
          <w:ilvl w:val="0"/>
          <w:numId w:val="10"/>
        </w:numPr>
        <w:spacing w:after="80"/>
      </w:pPr>
      <w:r>
        <w:rPr>
          <w:rFonts w:ascii="Arial" w:cs="Arial" w:eastAsia="Arial" w:hAnsi="Arial"/>
          <w:sz w:val="22"/>
          <w:szCs w:val="22"/>
        </w:rPr>
        <w:t xml:space="preserve">La valeur de chaque cible est la dernière publiée (la transaction qui a fait entrer le fonds), pas un prix de vente d'aujourd'hui : un fonds qui sort vend plus cher qu'il n'a acheté. La probabilité est donc un plafond.</w:t>
      </w:r>
    </w:p>
    <w:p>
      <w:pPr>
        <w:shd w:fill="FFF2A8" w:color="auto" w:val="clear"/>
        <w:spacing w:after="160" w:before="160"/>
      </w:pPr>
      <w:r>
        <w:rPr>
          <w:rFonts w:ascii="Arial" w:cs="Arial" w:eastAsia="Arial" w:hAnsi="Arial"/>
          <w:i/>
          <w:iCs/>
          <w:sz w:val="22"/>
          <w:szCs w:val="22"/>
        </w:rPr>
        <w:t xml:space="preserve">[À rédiger] 08_Livrables/texte/role-6.md : 6 à 9 pages, chaque chiffre cité par son jeton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EBITDA ajusté annuel attendu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 synergies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17,41x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médiane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payé retenu pour les cibles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Heritage-Crystal Clean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1 021 M€ ; 94 %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J.F. Lehman &amp; Company (fonds, depuis le 17/10/2023) ; T2 — crystal-clean-jfl-2023-07-19.html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Arcwood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 Infrastructure (fonds, depuis janvier 2024) ; T3 — arcwood-rebrand-2025-03-18.html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Triumvirate Environmental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1 531 M€ ; 73 %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Berkshire Partners et le fondateur (depuis février 2025) ; T4 — triumvirate-berkshire-2025-02-04.html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GFL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4 982 M€ ; 0 %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Apollo et BC Partners (depuis le 03/03/2025), GFL garde 44 % ; T5 — gfl-es-latham-2025-01-07.html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NG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 97 % des futurs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Summa Equity (fonds, depuis le 29/11/2024) ; T6 — fortum-summa-ng-group-2024-07-18.html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depuis 2024) ; T7 — enviracore-lancement-2025-09-30.html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Enviracore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(fonds lower middle market, depuis le 30/09/2025) ; T8 — bizwire-2025-9-30-seaside-equity-partners-la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Envisol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Groupe Géotec (depuis le 20/02/2025), lui-même sous LBO avec Naxicap Partners, BDR Invest et Jadel ; T9 — geotec-2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Onterris (ex-Montrose Environmental Group)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(NYSE: ONT) ; T10 — 0001193125-26-335022.pdf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Perma-Fix Environmental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(Nasdaq: PESI) ; T11 — formars.pdf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Chemtron Corporation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Kinderhook Industries (private equity, since 2019) ; T12 —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Cleanaway — Oils &amp; Technical Services and Health Services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Cleanaway Waste Management Limited (ASX: CWY), under non-binding EQT Infrastructure proposal ; T13 — 072pv5zdfnn9vx.pdf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Cible : Daiseki Co., Ltd.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prix non publié</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Listed (TSE Prime: 9793) ; T14 — print.pdf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La notation qualitative (traitement, géographie, PFAS, concurrence, passifs) est au groupe : cellules jaunes de Cibles §C.</w:t>
      </w:r>
    </w:p>
    <w:p>
      <w:pPr>
        <w:pStyle w:val="ListParagraph"/>
        <w:numPr>
          <w:ilvl w:val="0"/>
          <w:numId w:val="5"/>
        </w:numPr>
        <w:spacing w:after="80"/>
      </w:pPr>
      <w:r>
        <w:rPr>
          <w:rFonts w:ascii="Arial" w:cs="Arial" w:eastAsia="Arial" w:hAnsi="Arial"/>
          <w:sz w:val="22"/>
          <w:szCs w:val="22"/>
        </w:rPr>
        <w:t xml:space="preserve">Arcwood (incinération, PFAS) n'a pas de prix publié : la grille ne peut pas répondre pour elle sans une estimation sourcée.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17,41x (HEPACO et EnviroServe par Clean Harbors, Covanta par EQT, US Ecology par Republic) ; HEPACO ressort à 7,1x après synergies, EnviroServe et ES&amp;H à 8,9x. Clean Earth avant synergies reste 2,41x sous le plus cher du secteur (Clean Harbors → EnviroServe (2026)) : les synergies « achètent » 5,20x de multiple. D'où la grille : 8x, 9,8x, 12x.</w:t>
      </w:r>
    </w:p>
    <w:p>
      <w:pPr>
        <w:spacing w:after="120" w:line="300"/>
      </w:pPr>
      <w:r>
        <w:rPr>
          <w:rFonts w:ascii="Arial" w:cs="Arial" w:eastAsia="Arial" w:hAnsi="Arial"/>
          <w:b/>
          <w:bCs/>
          <w:sz w:val="22"/>
          <w:szCs w:val="22"/>
        </w:rPr>
        <w:t xml:space="preserve">Quelles cibles regardez-vous ?</w:t>
      </w:r>
    </w:p>
    <w:p>
      <w:pPr>
        <w:spacing w:after="120" w:line="300"/>
      </w:pPr>
      <w:r>
        <w:rPr>
          <w:rFonts w:ascii="Arial" w:cs="Arial" w:eastAsia="Arial" w:hAnsi="Arial"/>
          <w:sz w:val="22"/>
          <w:szCs w:val="22"/>
        </w:rPr>
        <w:t xml:space="preserve">13 cibles réelles, détenues par des fonds : Heritage-Crystal Clean : 1 021 M€ à 12,8x, tient dans 94 % des futurs (oui au central) ; Arcwood Environmental : prix non publié ; Triumvirate Environmental : 1 531 M€ à 12,8x, tient dans 73 % des futurs (oui au central) ; GFL Environmental Services : 4 982 M€ à 12,8x, tient dans 0 % des futurs ; NG Group : 800 M€ à 12,8x, tient dans 97 % des futurs (oui au central) ; Enviracore Services : prix non publié ; Enviracore Services : prix non publié ; Envisol : prix non publié ; Onterris (ex-Montrose Environmental Group) : prix non publié ; Perma-Fix Environmental Services : prix non publié ; Chemtron Corporation : prix non publié ; Cleanaway — Oils &amp; Technical Services and Health Services : prix non publié ; Daiseki Co., Ltd. : prix non publié. Au multiple médian du secteur (12,81x), 3 tiennent dans la marge centrale, la plus grande pour 1 531 M€. Les valeurs sont celles de l'entrée du fonds : un vendeur demandera plus.</w:t>
      </w:r>
    </w:p>
    <w:p>
      <w:pPr>
        <w:spacing w:after="120" w:line="300"/>
      </w:pPr>
      <w:r>
        <w:rPr>
          <w:rFonts w:ascii="Arial" w:cs="Arial" w:eastAsia="Arial" w:hAnsi="Arial"/>
          <w:b/>
          <w:bCs/>
          <w:sz w:val="22"/>
          <w:szCs w:val="22"/>
        </w:rPr>
        <w:t xml:space="preserve">Et si Veolia veut quand même une cible de 3 Md€ ?</w:t>
      </w:r>
    </w:p>
    <w:p>
      <w:pPr>
        <w:spacing w:after="120" w:line="300"/>
      </w:pPr>
      <w:r>
        <w:rPr>
          <w:rFonts w:ascii="Arial" w:cs="Arial" w:eastAsia="Arial" w:hAnsi="Arial"/>
          <w:sz w:val="22"/>
          <w:szCs w:val="22"/>
        </w:rPr>
        <w:t xml:space="preserve">Le menu de financement (onglet Financement) le chiffre : il manque 511 M€ sous 3x fin 2027, rien sous le seuil S&amp;P. Les hybrides comblent l'écart pour 22 M€ de coupon par an, mais les agences n'en retiennent que la moitié ; des cessions accélérées demandent 730 M€ et coûtent 73 M€ d'EBITDA récurrent ; du capital, 2,4 % de dilution. La vraie question est le prix accepté pour la taille.</w:t>
      </w:r>
    </w:p>
    <w:p>
      <w:pPr>
        <w:spacing w:after="120" w:line="300"/>
      </w:pPr>
      <w:r>
        <w:rPr>
          <w:rFonts w:ascii="Arial" w:cs="Arial" w:eastAsia="Arial" w:hAnsi="Arial"/>
          <w:b/>
          <w:bCs/>
          <w:sz w:val="22"/>
          <w:szCs w:val="22"/>
        </w:rPr>
        <w:t xml:space="preserve">Quelle hypothèse ferait tomber vos conclusions ?</w:t>
      </w:r>
    </w:p>
    <w:p>
      <w:pPr>
        <w:spacing w:after="120" w:line="300"/>
      </w:pPr>
      <w:r>
        <w:rPr>
          <w:rFonts w:ascii="Arial" w:cs="Arial" w:eastAsia="Arial" w:hAnsi="Arial"/>
          <w:sz w:val="22"/>
          <w:szCs w:val="22"/>
        </w:rPr>
        <w:t xml:space="preserve">Aucune seule, dans ses bornes : 0 hypothèse ne renverse une conclusion sans sortir de sa fourchette (onglet Financement §D, chaque seuil vérifié en le remettant dans le moteur). Pour une cible de 3 Md€, il faudrait une croissance 2026 de 7,7 % ou un multiple sous 6,7x.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Pour la capacité, celui de Clean Earth après synergies, parce que c'est le seul qu'un acheteur comme Veolia ait publié. Plus le multiple monte, plus la taille possible baisse : à 12x, 2,09 Md€. Pour noter une cible réelle, la médiane du secteur avant synergies (12,81x) : la dette arrive le jour du paiement, les synergies après fin 2027.</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620 chiffres du registre (0 relus) et les 49 opérations (0 relues).</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Noter les 13 cibles de l'onglet Cibles §C (cellules jaunes) et chercher une valeur sourcée pour celles qui n'en ont pas.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620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Cours de clôture de l'action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29.38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d'actions composant le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741,723,437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Capital social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3,708,617,185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Actions autodétenues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10,438,730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487,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EBITDA ajusté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chiffre d'affaires annuel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années 1-2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prix combiné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775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EBITDA ajusté annuel combiné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et ES&amp;H (Clean Harbors) : multiple combiné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clean-harbors-enviroserve-esh-2026-10-05.html, p. 1, https://www.stocktitan.net/news/CLH/clean-harbors-completes-acquisitions-of-enviro-serve-and-es-exg89lv5k702.html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ES&amp;H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clean-harbors-q2-2026-2026-07-29.html, p. 1, https://www.stocktitan.net/news/CLH/clean-harbors-announces-second-quarter-2026-financial-i7hymqt5jls0.html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valorisation de la transaction,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Heritage-Crystal Clean (J.F. Lehman)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45.50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crystal-clean-jfl-2023-07-19.html, p. 1, https://www.crystal-clean.com/heritage-crystal-clean-inc-to-be-acquired-by-j-f-lehman-company-for-1-2-billion/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 Recycling and Waste (NG Group, Summa Equity) : prix, dette et trésorerie exclues,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07/2024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fortum-summa-ng-group-2024-07-18.html, p. 1, https://news.cision.com/summa-equity/r/summa-equity-through-ng-group-acquires-fortum-recycling-and-waste,c4035069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 Environmental (Berkshire Partners) : valorisation après 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triumvirate-berkshire-2025-02-04.html, p. 1, https://ca.finance.yahoo.com/news/triumvirate-environmental-valued-1-8-132050079.html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(Apollo, BC Partners)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 Environmental Services : participation conservée par GFL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Md CAD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gfl-es-latham-2025-01-07.html, p. 1, https://www.lw.com/en/news/2025/01/latham-watkins-advises-gfl-environmental-inc-on-sale-of-environmental-services-business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Taux de référence BCE : dollars canadiens pour un euro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1.6058 CAD pour 1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06/10/2026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bce-taux-eur-cad-2026-10-06.html, p. 1, https://www.ecb.europa.eu/stats/policy_and_exchange_rates/euro_reference_exchange_rates/html/eurofxref-graph-cad.en.html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 Equity Partners : EBITDA visé pour une plateforme (fonds Flagship),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critères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seaside-criteres-2026-10-07.html, p. 1, https://www.seasideequity.com/investment-criteria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 (Enviracore) : salariés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2019</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emi-entretien-2019-01-31.html, p. 1, http://podcast.madepossibleby.us/blog/2019/1/31/environmental-management-services-from-a-garage-startup-to-guthries-business-of-the-year (consulté le 2026-10-07)</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salariés,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salariés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EnviroServe (Clean Harbors) : implantations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08/2026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clean-harbors-enviroserve-2026-08-12.html, p. 1, https://www.stocktitan.net/news/CLH/clean-harbors-to-acquire-enviro-serve-for-470-oh17y1jlmzc0.html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 il garde pour chaque ligne du registre qui l'a saisie et qui l'a relue. Les résumés de pages que l'API Claude a écrits pour la recherche sont signalés comme tels dans chaque résultat et ne sont jamais cités.</w:t>
      </w:r>
    </w:p>
    <w:p>
      <w:pPr>
        <w:pStyle w:val="ListParagraph"/>
        <w:numPr>
          <w:ilvl w:val="0"/>
          <w:numId w:val="5"/>
        </w:numPr>
        <w:spacing w:after="80"/>
      </w:pPr>
      <w:r>
        <w:rPr>
          <w:rFonts w:ascii="Arial" w:cs="Arial" w:eastAsia="Arial" w:hAnsi="Arial"/>
          <w:sz w:val="22"/>
          <w:szCs w:val="22"/>
        </w:rPr>
        <w:t xml:space="preserve">Le registre compte 620 chiffres et 49 opérations. 669 lignes y ont été saisies par Claude (Anthropic) à travers le compte partagé du serveur, en recopiant le nombre imprimé sur une page indexée dont le fichier et le numéro sont cités ; 0 ligne par l'API Claude (lecture de chaque page du vault, sous l'identité claude-api, avec un contrôle automatique que le nombre et sa citation sont sur la page) ; 0 ligne par les membres du groupe avec leur compte personnel. 0 ligne sur 669 ont été relues sur la page citée par un membre autre que leur auteur ; 669 ne l'ont pas encore été. Le rapport signale d'un « † » chaque chiffre cité qui n'a pas de second lecteur.</w:t>
      </w:r>
    </w:p>
    <w:p>
      <w:pPr>
        <w:pStyle w:val="ListParagraph"/>
        <w:numPr>
          <w:ilvl w:val="0"/>
          <w:numId w:val="5"/>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pStyle w:val="ListParagraph"/>
        <w:numPr>
          <w:ilvl w:val="0"/>
          <w:numId w:val="5"/>
        </w:numPr>
        <w:spacing w:after="80"/>
      </w:pPr>
      <w:r>
        <w:rPr>
          <w:rFonts w:ascii="Arial" w:cs="Arial" w:eastAsia="Arial" w:hAnsi="Arial"/>
          <w:sz w:val="22"/>
          <w:szCs w:val="22"/>
        </w:rPr>
        <w:t xml:space="preserve">role-1.md</w:t>
      </w:r>
    </w:p>
    <w:p>
      <w:pPr>
        <w:pStyle w:val="ListParagraph"/>
        <w:numPr>
          <w:ilvl w:val="0"/>
          <w:numId w:val="5"/>
        </w:numPr>
        <w:spacing w:after="80"/>
      </w:pPr>
      <w:r>
        <w:rPr>
          <w:rFonts w:ascii="Arial" w:cs="Arial" w:eastAsia="Arial" w:hAnsi="Arial"/>
          <w:sz w:val="22"/>
          <w:szCs w:val="22"/>
        </w:rPr>
        <w:t xml:space="preserve">role-2.md</w:t>
      </w:r>
    </w:p>
    <w:p>
      <w:pPr>
        <w:pStyle w:val="ListParagraph"/>
        <w:numPr>
          <w:ilvl w:val="0"/>
          <w:numId w:val="5"/>
        </w:numPr>
        <w:spacing w:after="80"/>
      </w:pPr>
      <w:r>
        <w:rPr>
          <w:rFonts w:ascii="Arial" w:cs="Arial" w:eastAsia="Arial" w:hAnsi="Arial"/>
          <w:sz w:val="22"/>
          <w:szCs w:val="22"/>
        </w:rPr>
        <w:t xml:space="preserve">role-3.md</w:t>
      </w:r>
    </w:p>
    <w:p>
      <w:pPr>
        <w:pStyle w:val="ListParagraph"/>
        <w:numPr>
          <w:ilvl w:val="0"/>
          <w:numId w:val="5"/>
        </w:numPr>
        <w:spacing w:after="80"/>
      </w:pPr>
      <w:r>
        <w:rPr>
          <w:rFonts w:ascii="Arial" w:cs="Arial" w:eastAsia="Arial" w:hAnsi="Arial"/>
          <w:sz w:val="22"/>
          <w:szCs w:val="22"/>
        </w:rPr>
        <w:t xml:space="preserve">role-4.md</w:t>
      </w:r>
    </w:p>
    <w:p>
      <w:pPr>
        <w:pStyle w:val="ListParagraph"/>
        <w:numPr>
          <w:ilvl w:val="0"/>
          <w:numId w:val="5"/>
        </w:numPr>
        <w:spacing w:after="80"/>
      </w:pPr>
      <w:r>
        <w:rPr>
          <w:rFonts w:ascii="Arial" w:cs="Arial" w:eastAsia="Arial" w:hAnsi="Arial"/>
          <w:sz w:val="22"/>
          <w:szCs w:val="22"/>
        </w:rPr>
        <w:t xml:space="preserve">role-5.md</w:t>
      </w:r>
    </w:p>
    <w:p>
      <w:pPr>
        <w:pStyle w:val="ListParagraph"/>
        <w:numPr>
          <w:ilvl w:val="0"/>
          <w:numId w:val="5"/>
        </w:numPr>
        <w:spacing w:after="80"/>
      </w:pPr>
      <w:r>
        <w:rPr>
          <w:rFonts w:ascii="Arial" w:cs="Arial" w:eastAsia="Arial" w:hAnsi="Arial"/>
          <w:sz w:val="22"/>
          <w:szCs w:val="22"/>
        </w:rPr>
        <w:t xml:space="preserve">role-6.md</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5"/>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5"/>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5"/>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5"/>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5"/>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5"/>
        </w:numPr>
        <w:spacing w:after="80"/>
      </w:pPr>
      <w:r>
        <w:rPr>
          <w:rFonts w:ascii="Arial" w:cs="Arial" w:eastAsia="Arial" w:hAnsi="Arial"/>
          <w:sz w:val="22"/>
          <w:szCs w:val="22"/>
        </w:rPr>
        <w:t xml:space="preserve">rôle 6 : 64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zwpfwjeydgcahvqo8ospt" Type="http://schemas.openxmlformats.org/officeDocument/2006/relationships/hyperlink" Target="https://dataroom.is42.fr:8443/visualisation/rapport.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2026-10-10T11:48:45.405Z</dcterms:created>
  <dcterms:modified xsi:type="dcterms:W3CDTF">2026-10-10T11:48:45.406Z</dcterms:modified>
</cp:coreProperties>
</file>

<file path=docProps/custom.xml><?xml version="1.0" encoding="utf-8"?>
<Properties xmlns="http://schemas.openxmlformats.org/officeDocument/2006/custom-properties" xmlns:vt="http://schemas.openxmlformats.org/officeDocument/2006/docPropsVTypes"/>
</file>