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2026-10-06 depuis la dataroom du groupe (600 chiffres sourcés ; contrôles du classeur : OK). Chaque chiffre cité renvoie à l'annexe A : fichier, page, URL, date de consultation. Les passages surlignés sont à rédiger par l'auteur de la section ; « † » après un identifiant : ligne que personne n'a encore relue.</w:t>
      </w:r>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L'enveloppe GreenUp : brute ou nette ?</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Comment le registre a été constitué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Clean Earth change au périmètre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4"/>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4"/>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définition de Veolia et les ratios publiés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Trois lectures du 30 juin 2026</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Les seuils des agences et le pont du FFO</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mur de refinancement face aux liquidités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4"/>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4"/>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trajectoire 2026-2027</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qui bouge le plus la marge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programme de cessions : actifs, rythme, calendrier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L'efficacité, hypothèse la plus fragile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4"/>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4"/>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Votre fourchette est-elle une probabilité ?</w:t>
      </w:r>
    </w:p>
    <w:p>
      <w:pPr>
        <w:spacing w:after="120" w:line="300"/>
      </w:pPr>
      <w:r>
        <w:rPr>
          <w:rFonts w:ascii="Arial" w:cs="Arial" w:eastAsia="Arial" w:hAnsi="Arial"/>
          <w:sz w:val="22"/>
          <w:szCs w:val="22"/>
        </w:rPr>
        <w:t xml:space="preserve">Oui depuis l'onglet Distribution : chaque hypothèse est tirée dans une loi triangulaire entre ses bornes (le sommet à la base), un facteur « conjoncture » fait bouger ensemble croissance, cash-flow, cessions et multiples (poids 0,4, hypothèse du groupe). Sur 1 000 futurs : 100 % tiennent les deux plafonds, 0 % passent sous le seuil S&amp;P fin 2026, 40 % atteignent 8 Md€ d'EBITDA. Les tirages sont fixés par une graine : le classeur redonne les mêmes nombres, et le simulateur web, qui lit les mêmes formules, aussi.</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D'où viennent les 8 Md€ : un plan d'efficacité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booster déchets dangereux face à 9 et 10 Mt</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Clean Harbors et Clean Earth vus du vendeur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4"/>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4"/>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4"/>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4"/>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Les provisions de fermeture et post-fermeture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L'affectation du prix de Clean Earth</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coûte un passif chez un pair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4"/>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4"/>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taille maximale selon le multiple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L'univers de cibles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Synthèse : notre recommandation</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14,10x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L'univers de cibles reste à construire (onglet Cibles §C) : nom, pays, activité, valeur d'entreprise sourcée, multiple.</w:t>
      </w:r>
    </w:p>
    <w:p>
      <w:pPr>
        <w:pStyle w:val="ListParagraph"/>
        <w:numPr>
          <w:ilvl w:val="0"/>
          <w:numId w:val="4"/>
        </w:numPr>
        <w:spacing w:after="80"/>
      </w:pPr>
      <w:r>
        <w:rPr>
          <w:rFonts w:ascii="Arial" w:cs="Arial" w:eastAsia="Arial" w:hAnsi="Arial"/>
          <w:sz w:val="22"/>
          <w:szCs w:val="22"/>
        </w:rPr>
        <w:t xml:space="preserve">Aucune valeur d'entreprise de cible non cotée n'est dans la dataroom ; une estimation devra le dire.</w:t>
      </w:r>
    </w:p>
    <w:p>
      <w:pPr>
        <w:pStyle w:val="ListParagraph"/>
        <w:numPr>
          <w:ilvl w:val="0"/>
          <w:numId w:val="4"/>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14,10x (HEPACO par Clean Harbors, Covanta par EQT, US Ecology par Republic quand le communiqué est versé) ; HEPACO ressort à 7,1x après synergies. Clean Earth avant synergies dépasse de 0,90x le plus cher du secteur : les synergies « achètent » 5,20x de multiple. D'où la grille : 8x, 9,8x, 12x.</w:t>
      </w:r>
    </w:p>
    <w:p>
      <w:pPr>
        <w:spacing w:after="120" w:line="300"/>
      </w:pPr>
      <w:r>
        <w:rPr>
          <w:rFonts w:ascii="Arial" w:cs="Arial" w:eastAsia="Arial" w:hAnsi="Arial"/>
          <w:b/>
          <w:bCs/>
          <w:sz w:val="22"/>
          <w:szCs w:val="22"/>
        </w:rPr>
        <w:t xml:space="preserve">Et si Veolia veut quand même une cible de 3 Md€ ?</w:t>
      </w:r>
    </w:p>
    <w:p>
      <w:pPr>
        <w:spacing w:after="120" w:line="300"/>
      </w:pPr>
      <w:r>
        <w:rPr>
          <w:rFonts w:ascii="Arial" w:cs="Arial" w:eastAsia="Arial" w:hAnsi="Arial"/>
          <w:sz w:val="22"/>
          <w:szCs w:val="22"/>
        </w:rPr>
        <w:t xml:space="preserve">Le menu de financement (onglet Financement) le chiffre : il manque 511 M€ sous 3x fin 2027, rien sous le seuil S&amp;P. Les hybrides comblent l'écart pour 22 M€ de coupon par an, mais les agences n'en retiennent que la moitié ; des cessions accélérées demandent 730 M€ et coûtent 73 M€ d'EBITDA récurrent ; du capital, 2,4 % de dilution. La vraie question est le prix accepté pour la taille.</w:t>
      </w:r>
    </w:p>
    <w:p>
      <w:pPr>
        <w:spacing w:after="120" w:line="300"/>
      </w:pPr>
      <w:r>
        <w:rPr>
          <w:rFonts w:ascii="Arial" w:cs="Arial" w:eastAsia="Arial" w:hAnsi="Arial"/>
          <w:b/>
          <w:bCs/>
          <w:sz w:val="22"/>
          <w:szCs w:val="22"/>
        </w:rPr>
        <w:t xml:space="preserve">Quelle hypothèse ferait tomber vos conclusions ?</w:t>
      </w:r>
    </w:p>
    <w:p>
      <w:pPr>
        <w:spacing w:after="120" w:line="300"/>
      </w:pPr>
      <w:r>
        <w:rPr>
          <w:rFonts w:ascii="Arial" w:cs="Arial" w:eastAsia="Arial" w:hAnsi="Arial"/>
          <w:sz w:val="22"/>
          <w:szCs w:val="22"/>
        </w:rPr>
        <w:t xml:space="preserve">Aucune seule, dans ses bornes : 0 hypothèse ne renverse une conclusion sans sortir de sa fourchette (onglet Financement §D, chaque seuil vérifié en le remettant dans le moteur). Pour une cible de 3 Md€, il faudrait une croissance 2026 de 7,7 % ou un multiple sous 6,7x.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Celui de Clean Earth après synergies, parce que c'est le seul qu'un acheteur comme Veolia ait publié. Plus le multiple monte, plus la taille possible baisse : à 12x, 2,09 Md€.</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4"/>
        </w:numPr>
        <w:spacing w:after="80"/>
      </w:pPr>
      <w:r>
        <w:rPr>
          <w:rFonts w:ascii="Arial" w:cs="Arial" w:eastAsia="Arial" w:hAnsi="Arial"/>
          <w:sz w:val="22"/>
          <w:szCs w:val="22"/>
        </w:rPr>
        <w:t xml:space="preserve">Relire en croisé les 600 chiffres du registre et les 26 deals : aucun n'a encore de relecteur.</w:t>
      </w:r>
    </w:p>
    <w:p>
      <w:pPr>
        <w:pStyle w:val="ListParagraph"/>
        <w:numPr>
          <w:ilvl w:val="0"/>
          <w:numId w:val="4"/>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4"/>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4"/>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4"/>
        </w:numPr>
        <w:spacing w:after="80"/>
      </w:pPr>
      <w:r>
        <w:rPr>
          <w:rFonts w:ascii="Arial" w:cs="Arial" w:eastAsia="Arial" w:hAnsi="Arial"/>
          <w:sz w:val="22"/>
          <w:szCs w:val="22"/>
        </w:rPr>
        <w:t xml:space="preserve">Construire l'univers de cibles (onglet Cibles §C) : une ligne par cible, valeur d'entreprise et multiple sourcés.</w:t>
      </w:r>
    </w:p>
    <w:p>
      <w:pPr>
        <w:pStyle w:val="ListParagraph"/>
        <w:numPr>
          <w:ilvl w:val="0"/>
          <w:numId w:val="4"/>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600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Cours de clôture de l'action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29.38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d'actions composant le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741,723,437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Capital social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3,708,617,185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Actions autodétenues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10,438,730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4"/>
        </w:numPr>
        <w:spacing w:after="80"/>
      </w:pPr>
      <w:r>
        <w:rPr>
          <w:rFonts w:ascii="Arial" w:cs="Arial" w:eastAsia="Arial" w:hAnsi="Arial"/>
          <w:sz w:val="22"/>
          <w:szCs w:val="22"/>
        </w:rPr>
        <w:t xml:space="preserve">Dataroom : un serveur MCP (Model Context Protocol) privé au groupe, qui indexe les documents publics versés dans le vault et ne sait que chercher, lire une page et citer (fichier, page, URL, date de consultation). Il ne calcule rien et ne résume rien ; il garde pour chaque ligne du registre qui l'a saisie et qui l'a relue.</w:t>
      </w:r>
    </w:p>
    <w:p>
      <w:pPr>
        <w:pStyle w:val="ListParagraph"/>
        <w:numPr>
          <w:ilvl w:val="0"/>
          <w:numId w:val="4"/>
        </w:numPr>
        <w:spacing w:after="80"/>
      </w:pPr>
      <w:r>
        <w:rPr>
          <w:rFonts w:ascii="Arial" w:cs="Arial" w:eastAsia="Arial" w:hAnsi="Arial"/>
          <w:sz w:val="22"/>
          <w:szCs w:val="22"/>
        </w:rPr>
        <w:t xml:space="preserve">Le registre compte 600 chiffres et 30 opérations. 630 lignes y ont été saisies par Claude (Anthropic) à travers le compte partagé du serveur, en recopiant le nombre imprimé sur une page indexée dont le fichier et le numéro sont cités ; 0 ligne par les membres du groupe avec leur compte personnel. 0 ligne sur 630 ont été relues sur la page citée par un membre autre que leur auteur ; 630 ne l'ont pas encore été. Le rapport signale d'un « † » chaque chiffre cité qui n'a pas de second lecteur.</w:t>
      </w:r>
    </w:p>
    <w:p>
      <w:pPr>
        <w:pStyle w:val="ListParagraph"/>
        <w:numPr>
          <w:ilvl w:val="0"/>
          <w:numId w:val="4"/>
        </w:numPr>
        <w:spacing w:after="80"/>
      </w:pPr>
      <w:r>
        <w:rPr>
          <w:rFonts w:ascii="Arial" w:cs="Arial" w:eastAsia="Arial" w:hAnsi="Arial"/>
          <w:sz w:val="22"/>
          <w:szCs w:val="22"/>
        </w:rPr>
        <w:t xml:space="preserve">Claude, via Claude Code, a aussi construit le serveur, les contrôles automatiques (`audit_dataroom`), le générateur du classeur Excel (`build_model.py`), celui des dossiers et celui de ce rapport. Le classeur ne contient que des formules ; ses entrées sont les lignes du registre.</w:t>
      </w:r>
    </w:p>
    <w:p>
      <w:pPr>
        <w:pStyle w:val="ListParagraph"/>
        <w:numPr>
          <w:ilvl w:val="0"/>
          <w:numId w:val="4"/>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4"/>
        </w:numPr>
        <w:spacing w:after="80"/>
      </w:pPr>
      <w:r>
        <w:rPr>
          <w:rFonts w:ascii="Arial" w:cs="Arial" w:eastAsia="Arial" w:hAnsi="Arial"/>
          <w:sz w:val="22"/>
          <w:szCs w:val="22"/>
        </w:rPr>
        <w:t xml:space="preserve">Règle tenue : aucun nombre n'a été inventé ni calculé par un modèle de langage. Chaque nombre du registre est recopié d'une page publique citée ; chaque nombre du classeur est une formule sur ces lignes.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4"/>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4"/>
        </w:numPr>
        <w:spacing w:after="80"/>
      </w:pPr>
      <w:r>
        <w:rPr>
          <w:rFonts w:ascii="Arial" w:cs="Arial" w:eastAsia="Arial" w:hAnsi="Arial"/>
          <w:sz w:val="22"/>
          <w:szCs w:val="22"/>
        </w:rPr>
        <w:t xml:space="preserve">rôle 2 : 245 — F1, F3, F6, F8, F10, F11, F12, F14, F16, F17, F19, F20, F22, F23, F26, F51, F55, F56, F57, F66 …</w:t>
      </w:r>
    </w:p>
    <w:p>
      <w:pPr>
        <w:pStyle w:val="ListParagraph"/>
        <w:numPr>
          <w:ilvl w:val="0"/>
          <w:numId w:val="4"/>
        </w:numPr>
        <w:spacing w:after="80"/>
      </w:pPr>
      <w:r>
        <w:rPr>
          <w:rFonts w:ascii="Arial" w:cs="Arial" w:eastAsia="Arial" w:hAnsi="Arial"/>
          <w:sz w:val="22"/>
          <w:szCs w:val="22"/>
        </w:rPr>
        <w:t xml:space="preserve">rôle 3 : 118 — F4, F5, F7, F9, F13, F15, F21, F24, F25, F27, F28, F29, F30, F31, F53, F64, F65, F67, F68, F69 …</w:t>
      </w:r>
    </w:p>
    <w:p>
      <w:pPr>
        <w:pStyle w:val="ListParagraph"/>
        <w:numPr>
          <w:ilvl w:val="0"/>
          <w:numId w:val="4"/>
        </w:numPr>
        <w:spacing w:after="80"/>
      </w:pPr>
      <w:r>
        <w:rPr>
          <w:rFonts w:ascii="Arial" w:cs="Arial" w:eastAsia="Arial" w:hAnsi="Arial"/>
          <w:sz w:val="22"/>
          <w:szCs w:val="22"/>
        </w:rPr>
        <w:t xml:space="preserve">rôle 4 : 111 — F33, F34, F35, F36, F37, F38, F39, F40, F41, F52, F54, F58, F59, F60, F61, F62, F63, F93, F94, F95 …</w:t>
      </w:r>
    </w:p>
    <w:p>
      <w:pPr>
        <w:pStyle w:val="ListParagraph"/>
        <w:numPr>
          <w:ilvl w:val="0"/>
          <w:numId w:val="4"/>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4"/>
        </w:numPr>
        <w:spacing w:after="80"/>
      </w:pPr>
      <w:r>
        <w:rPr>
          <w:rFonts w:ascii="Arial" w:cs="Arial" w:eastAsia="Arial" w:hAnsi="Arial"/>
          <w:sz w:val="22"/>
          <w:szCs w:val="22"/>
        </w:rPr>
        <w:t xml:space="preserve">rôle 6 : 44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2026-10-06T17:53:08.035Z</dcterms:created>
  <dcterms:modified xsi:type="dcterms:W3CDTF">2026-10-06T17:53:08.036Z</dcterms:modified>
</cp:coreProperties>
</file>

<file path=docProps/custom.xml><?xml version="1.0" encoding="utf-8"?>
<Properties xmlns="http://schemas.openxmlformats.org/officeDocument/2006/custom-properties" xmlns:vt="http://schemas.openxmlformats.org/officeDocument/2006/docPropsVTypes"/>
</file>