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2026-10-02 depuis la dataroom du groupe (243 chiffres sourcés ; contrôles du classeur : OK). Chaque chiffre cité renvoie à l'annexe A : fichier, page, URL, date de consultation. Les passages surlignés sont à rédiger par l'auteur de la section.</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−0,50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4,31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La recommandation en trois phrases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0,19 Md€.</w:t>
      </w:r>
    </w:p>
    <w:p>
      <w:pPr>
        <w:pStyle w:val="Heading2"/>
        <w:spacing w:after="120" w:before="240"/>
      </w:pPr>
      <w:r>
        <w:rPr>
          <w:rFonts w:ascii="Arial" w:cs="Arial" w:eastAsia="Arial" w:hAnsi="Arial"/>
        </w:rPr>
        <w:t xml:space="preserve">Raisonnement</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agences (BBB / Baa1, présentation Clean Earth p.16) raisonnent sur leurs propres ratios, qui ne sont pas dans la dataroom.</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(−500 M€).</w:t>
      </w:r>
    </w:p>
    <w:p>
      <w:pPr>
        <w:pStyle w:val="Heading2"/>
        <w:spacing w:after="120" w:before="240"/>
      </w:pPr>
      <w:r>
        <w:rPr>
          <w:rFonts w:ascii="Arial" w:cs="Arial" w:eastAsia="Arial" w:hAnsi="Arial"/>
        </w:rPr>
        <w:t xml:space="preserve">Raisonnement</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−500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−500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Booster</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Séché, pair coté européen, fait 1 152 M€ de chiffre d'affaires pour 225,4 M€ d'EBITDA (19,6 %), contre 17 % pour le pro forma déchets dangereux de Veolia.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w:t>
      </w:r>
    </w:p>
    <w:p>
      <w:pPr>
        <w:pStyle w:val="Heading2"/>
        <w:spacing w:after="120" w:before="240"/>
      </w:pPr>
      <w:r>
        <w:rPr>
          <w:rFonts w:ascii="Arial" w:cs="Arial" w:eastAsia="Arial" w:hAnsi="Arial"/>
        </w:rPr>
        <w:t xml:space="preserve">Raisonnement</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taille, même géographie, et même définition d'EBITDA et de levier. Séché calcule son levier sur la dette moyenne selon sa documentation bancaire ; Veolia sur la dette de clôture.</w:t>
      </w:r>
    </w:p>
    <w:p>
      <w:pPr>
        <w:pStyle w:val="ListParagraph"/>
        <w:numPr>
          <w:ilvl w:val="0"/>
          <w:numId w:val="8"/>
        </w:numPr>
        <w:spacing w:after="80"/>
      </w:pPr>
      <w:r>
        <w:rPr>
          <w:rFonts w:ascii="Arial" w:cs="Arial" w:eastAsia="Arial" w:hAnsi="Arial"/>
          <w:sz w:val="22"/>
          <w:szCs w:val="22"/>
        </w:rPr>
        <w:t xml:space="preserve">Candidats : Séché (Europe, dans la dataroom), Clean Harbors (États-Unis, concurrent direct de Clean Earth),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6,030.8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chiffre d'affaires contributif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marge d'EBITDA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levier (méthode bancaire)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levier (méthode bancaire)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Séché est-il comparable ?</w:t>
      </w:r>
    </w:p>
    <w:p>
      <w:pPr>
        <w:spacing w:after="120" w:line="300"/>
      </w:pPr>
      <w:r>
        <w:rPr>
          <w:rFonts w:ascii="Arial" w:cs="Arial" w:eastAsia="Arial" w:hAnsi="Arial"/>
          <w:sz w:val="22"/>
          <w:szCs w:val="22"/>
        </w:rPr>
        <w:t xml:space="preserve">Même métier (traitement des déchets dangereux), coté, publie ses comptes en IFRS. Mais il est environ 5 fois plus petit que le métier déchets dangereux de Veolia avec Clean Earth, très exposé à la France, et sa définition du levier n'est pas celle de Veolia.</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6,030.8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Fin 2027, la marge centrale permet une acquisition d'environ 2,3 Md€ au multiple de Clean Earth, moins que Clean Earth lui-même (2,8 Md€). Dans le scénario défavorable, rien.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2,51 Md€ en central, 0 en défavorable, 5,59 Md€ en favorable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Le marché bouge : Séché a acheté Hidronor (numéro un des déchets dangereux au Chili) et La Filippa en 2026, et a notifié le rachat de Groupe Flamme en France. Ces actifs sortent de l'univers.</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5"/>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4 314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7 334</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5 031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243 chiffres du registre et les 26 deals : aucun n'a encore de relecteur.</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243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chiffre d'affaires contributif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1,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dette financière nette (IFRS)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dette financière nette (IFRS)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dette nette selon la documentation bancaire (hors prêts sans recours, affacturage)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levier financier (méthode bancaire)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levier financier (méthode bancaire)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3,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objectif de levier, en dessous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1,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part de l'international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5,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conversion de l'EBITDA en cash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26-02_cp-bn-25_en.pdf, p. 8, https://www.groupe-seche.com/uploads/2026/03/26-02_cp-bn-25_en.pdf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chiffre d'affaires contributif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26-06_cp-bn-s1-26-eng.pdf, p. 3, https://www.groupe-seche.com/uploads/2026/09/26-06_cp-bn-s1-26-eng.pdf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26-06_cp-bn-s1-26-eng.pdf, p. 3, https://www.groupe-seche.com/uploads/2026/09/26-06_cp-bn-s1-26-eng.pdf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dette financière nette (IFRS)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757,4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26-06_cp-bn-s1-26-eng.pdf, p. 3, https://www.groupe-seche.com/uploads/2026/09/26-06_cp-bn-s1-26-eng.pdf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levier financier (méthode bancaire, dette nette moyenne)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26-06_cp-bn-s1-26-eng.pdf, p. 3, https://www.groupe-seche.com/uploads/2026/09/26-06_cp-bn-s1-26-eng.pdf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Séché : effet des acquisitions Hidronor et La Filippa sur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26-06_cp-bn-s1-26-eng.pdf, p. 4, https://www.groupe-seche.com/uploads/2026/09/26-06_cp-bn-s1-26-eng.pdf (consulté le 2026-10-01)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5"/>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squelette.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Ce que le groupe a décidé sans l'outil : le choix des hypothèses, la recommandation, les cas où l'outil a été contredit après lecture. Puis un tableau : membre, outil, usage, période.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2026-10-02T10:35:33.291Z</dcterms:created>
  <dcterms:modified xsi:type="dcterms:W3CDTF">2026-10-02T10:35:33.291Z</dcterms:modified>
</cp:coreProperties>
</file>

<file path=docProps/custom.xml><?xml version="1.0" encoding="utf-8"?>
<Properties xmlns="http://schemas.openxmlformats.org/officeDocument/2006/custom-properties" xmlns:vt="http://schemas.openxmlformats.org/officeDocument/2006/docPropsVTypes"/>
</file>