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(447 chiffres sourcés ; contrôles du classeur : OK). Chaque chiffre cité renvoie à l'annexe A : fichier, page, URL, date de consultation. Les passages surlignés sont à rédiger par l'auteur de la section.</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−0,50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La recommandation en trois phrases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hd w:fill="FFF2A8" w:color="auto" w:val="clear"/>
        <w:spacing w:after="160" w:before="160"/>
      </w:pPr>
      <w:r>
        <w:rPr>
          <w:rFonts w:ascii="Arial" w:cs="Arial" w:eastAsia="Arial" w:hAnsi="Arial"/>
          <w:i/>
          <w:iCs/>
          <w:sz w:val="22"/>
          <w:szCs w:val="22"/>
        </w:rPr>
        <w:t xml:space="preserve">[Section signée par : ______ ] — dans le classeur : Entrées, Cessions §A et §B</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Nette. GreenUp annonce environ 0,5 Md€ par an de rotation nette d'actifs : 0,5 à 1,0 Md€ de tuck-ins, moins environ 0,5 Md€ de cessions. Clean Earth (2,78 Md€ de dette en plus) vaut 5,6 années de cette enveloppe ; c'est le programme de cessions de plus de 2 Md€ qui le ramène dedans. Les 4 Md€ d'investissements de croissance dans les boosters sont eux aussi annoncés nets (GreenUp p.44) : au 30 juin 2026, les sorties nettes d'acquisitions depuis 2024 atteignent 4,77 Md€, soit 0,77 Md€ de plus.</w:t>
      </w:r>
    </w:p>
    <w:p>
      <w:pPr>
        <w:pStyle w:val="Heading2"/>
        <w:spacing w:after="120" w:before="240"/>
      </w:pPr>
      <w:r>
        <w:rPr>
          <w:rFonts w:ascii="Arial" w:cs="Arial" w:eastAsia="Arial" w:hAnsi="Arial"/>
        </w:rPr>
        <w:t xml:space="preserve">Raisonnement</w:t>
      </w:r>
    </w:p>
    <w:p>
      <w:pPr>
        <w:pStyle w:val="ListParagraph"/>
        <w:numPr>
          <w:ilvl w:val="0"/>
          <w:numId w:val="4"/>
        </w:numPr>
        <w:spacing w:after="80"/>
      </w:pPr>
      <w:r>
        <w:rPr>
          <w:rFonts w:ascii="Arial" w:cs="Arial" w:eastAsia="Arial" w:hAnsi="Arial"/>
          <w:sz w:val="22"/>
          <w:szCs w:val="22"/>
        </w:rPr>
        <w:t xml:space="preserve">Lire la diapositive d'allocation du capital de GreenUp (p.63) : chaque colonne est exprimée en net.</w:t>
      </w:r>
    </w:p>
    <w:p>
      <w:pPr>
        <w:pStyle w:val="ListParagraph"/>
        <w:numPr>
          <w:ilvl w:val="0"/>
          <w:numId w:val="4"/>
        </w:numPr>
        <w:spacing w:after="80"/>
      </w:pPr>
      <w:r>
        <w:rPr>
          <w:rFonts w:ascii="Arial" w:cs="Arial" w:eastAsia="Arial" w:hAnsi="Arial"/>
          <w:sz w:val="22"/>
          <w:szCs w:val="22"/>
        </w:rPr>
        <w:t xml:space="preserve">Recalculer les deux enveloppes : 1,9 + 1,5 − 0,3 = 3,1 Md€ d'investissements nets ; 1,0 − 0,5 = 0,5 Md€ de rotation nette. L'annonce correspond au haut de la fourchette de tuck-ins.</w:t>
      </w:r>
    </w:p>
    <w:p>
      <w:pPr>
        <w:pStyle w:val="ListParagraph"/>
        <w:numPr>
          <w:ilvl w:val="0"/>
          <w:numId w:val="4"/>
        </w:numPr>
        <w:spacing w:after="80"/>
      </w:pPr>
      <w:r>
        <w:rPr>
          <w:rFonts w:ascii="Arial" w:cs="Arial" w:eastAsia="Arial" w:hAnsi="Arial"/>
          <w:sz w:val="22"/>
          <w:szCs w:val="22"/>
        </w:rPr>
        <w:t xml:space="preserve">Ne pas confondre avec les « plus de 8 Md€ de rotation d'actifs en 4 ans » de la présentation du S1 2026 : ce chiffre additionne achats et ventes, il est brut.</w:t>
      </w:r>
    </w:p>
    <w:p>
      <w:pPr>
        <w:pStyle w:val="ListParagraph"/>
        <w:numPr>
          <w:ilvl w:val="0"/>
          <w:numId w:val="4"/>
        </w:numPr>
        <w:spacing w:after="80"/>
      </w:pPr>
      <w:r>
        <w:rPr>
          <w:rFonts w:ascii="Arial" w:cs="Arial" w:eastAsia="Arial" w:hAnsi="Arial"/>
          <w:sz w:val="22"/>
          <w:szCs w:val="22"/>
        </w:rPr>
        <w:t xml:space="preserve">Placer Clean Earth : 5,6 années d'enveloppe nette en une opération. Net du programme de cessions, il en reste 0,78 Md€, soit 1,6 année.</w:t>
      </w:r>
    </w:p>
    <w:p>
      <w:pPr>
        <w:pStyle w:val="ListParagraph"/>
        <w:numPr>
          <w:ilvl w:val="0"/>
          <w:numId w:val="4"/>
        </w:numPr>
        <w:spacing w:after="80"/>
      </w:pPr>
      <w:r>
        <w:rPr>
          <w:rFonts w:ascii="Arial" w:cs="Arial" w:eastAsia="Arial" w:hAnsi="Arial"/>
          <w:sz w:val="22"/>
          <w:szCs w:val="22"/>
        </w:rPr>
        <w:t xml:space="preserve">Reconstituer ce qui est sorti : 0,40 Md€ rentrés en 2024 (cessions SADE, RGS, Lydec, Haikou), 2,30 Md€ sortis en 2025 (minoritaires WTS, déchets dangereux), 2,87 Md€ au S1 2026 (Clean Earth). Cumul net : 4,77 Md€, contre une enveloppe boosters de 4 Md€ sur quatre ans.</w:t>
      </w:r>
    </w:p>
    <w:p>
      <w:pPr>
        <w:pStyle w:val="ListParagraph"/>
        <w:numPr>
          <w:ilvl w:val="0"/>
          <w:numId w:val="4"/>
        </w:numPr>
        <w:spacing w:after="80"/>
      </w:pPr>
      <w:r>
        <w:rPr>
          <w:rFonts w:ascii="Arial" w:cs="Arial" w:eastAsia="Arial" w:hAnsi="Arial"/>
          <w:sz w:val="22"/>
          <w:szCs w:val="22"/>
        </w:rPr>
        <w:t xml:space="preserve">Le registre : chaque chiffre a son fichier, sa page, son URL et sa date de consultation, et un contrôle automatique vérifie que la valeur figure bien sur la page citée.</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5"/>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5"/>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hd w:fill="FFF2A8" w:color="auto" w:val="clear"/>
        <w:spacing w:after="160" w:before="160"/>
      </w:pPr>
      <w:r>
        <w:rPr>
          <w:rFonts w:ascii="Arial" w:cs="Arial" w:eastAsia="Arial" w:hAnsi="Arial"/>
          <w:i/>
          <w:iCs/>
          <w:sz w:val="22"/>
          <w:szCs w:val="22"/>
        </w:rPr>
        <w:t xml:space="preserve">[Section signée par : ______ ] — dans le classeur : Levier, Pont de dette, Échéancier</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mesure son levier comme dette financière nette de clôture (IFRS 16 incluse) sur EBITDA (IFRS 16 inclus), hybrides exclus. La définition redonne les ratios publiés. Au 30 juin 2026, le ratio mécanique de 3,39x surestime : corrigé de Clean Earth en année pleine et de la saisonnalité, on est à 3,17x. Le modèle donne 3,02x fin 2026, dans la guidance, et 2,80x fin 2027, soit 1,57 Md€ de marge sous 3x. Mais la vraie limite est celle des agences : S&amp;P abaisse la note si FFO / dette ajustée ne reste pas au-dessus de 18 %, Moody's si le ratio passe sous « high teens ». Au pic de dette ajustée de 2026 (~29 Md€), tenir 18 % demande 5,2 Md€ de FFO, soit le FFO 2025 (5,2 Md€) : à FFO constant il n'y a pas de marge. Si le FFO suit l'EBITDA, le modèle donne 19,3 % fin 2026 (Moody's attend 18-19 %) et 20,8 % fin 2027 : le seuil des agences mord en 2026, le 3x de Veolia mord en 2027 (4,3 Md€ de marge sous 18 % contre 1,57 Md€ sous 3x). Dans le scénario défavorable, la marge d'agence 2026 tombe à 0,21 Md€. L'écart de 5 747 M€ entre la dette des agences et celle de Veolia se réconcilie poste par poste (Moody's, Exhibit 13) : hybrides comptés à 50 % (2 050,0), pensions (647,0), titrisation (1 014,0), retraitements (1 650,0), et une trésorerie retenue plus basse. Moody's publie aussi le FFO : 5 160 M€ en 2025, et prévoit 18,5 % de FFO / dette nette en 2026, 19,5 % en 2027.</w:t>
      </w:r>
    </w:p>
    <w:p>
      <w:pPr>
        <w:pStyle w:val="Heading2"/>
        <w:spacing w:after="120" w:before="240"/>
      </w:pPr>
      <w:r>
        <w:rPr>
          <w:rFonts w:ascii="Arial" w:cs="Arial" w:eastAsia="Arial" w:hAnsi="Arial"/>
        </w:rPr>
        <w:t xml:space="preserve">Raisonnement</w:t>
      </w:r>
    </w:p>
    <w:p>
      <w:pPr>
        <w:pStyle w:val="ListParagraph"/>
        <w:numPr>
          <w:ilvl w:val="0"/>
          <w:numId w:val="6"/>
        </w:numPr>
        <w:spacing w:after="80"/>
      </w:pPr>
      <w:r>
        <w:rPr>
          <w:rFonts w:ascii="Arial" w:cs="Arial" w:eastAsia="Arial" w:hAnsi="Arial"/>
          <w:sz w:val="22"/>
          <w:szCs w:val="22"/>
        </w:rPr>
        <w:t xml:space="preserve">Prendre la définition dans le DEU 2025 (p.355) et la tester : elle redonne 2,63x pour 2024 et 2,79x pour 2025.</w:t>
      </w:r>
    </w:p>
    <w:p>
      <w:pPr>
        <w:pStyle w:val="ListParagraph"/>
        <w:numPr>
          <w:ilvl w:val="0"/>
          <w:numId w:val="6"/>
        </w:numPr>
        <w:spacing w:after="80"/>
      </w:pPr>
      <w:r>
        <w:rPr>
          <w:rFonts w:ascii="Arial" w:cs="Arial" w:eastAsia="Arial" w:hAnsi="Arial"/>
          <w:sz w:val="22"/>
          <w:szCs w:val="22"/>
        </w:rPr>
        <w:t xml:space="preserve">Les 4,1 Md€ d'hybrides sont des capitaux propres en IFRS (IAS 32.11). L'hybride vert de 2025 a réduit la dette nette de 497 M€ : c'est un levier sur le ratio, pas sur l'économie.</w:t>
      </w:r>
    </w:p>
    <w:p>
      <w:pPr>
        <w:pStyle w:val="ListParagraph"/>
        <w:numPr>
          <w:ilvl w:val="0"/>
          <w:numId w:val="6"/>
        </w:numPr>
        <w:spacing w:after="80"/>
      </w:pPr>
      <w:r>
        <w:rPr>
          <w:rFonts w:ascii="Arial" w:cs="Arial" w:eastAsia="Arial" w:hAnsi="Arial"/>
          <w:sz w:val="22"/>
          <w:szCs w:val="22"/>
        </w:rPr>
        <w:t xml:space="preserve">Au 30 juin 2026, trois lectures : 3,39x mécanique, 3,32x avec douze mois de Clean Earth, 3,17x en retirant la saisonnalité (la dette baisse de 1 107 M€ au second semestre). Seule la troisième se compare à un ratio de décembre.</w:t>
      </w:r>
    </w:p>
    <w:p>
      <w:pPr>
        <w:pStyle w:val="ListParagraph"/>
        <w:numPr>
          <w:ilvl w:val="0"/>
          <w:numId w:val="6"/>
        </w:numPr>
        <w:spacing w:after="80"/>
      </w:pPr>
      <w:r>
        <w:rPr>
          <w:rFonts w:ascii="Arial" w:cs="Arial" w:eastAsia="Arial" w:hAnsi="Arial"/>
          <w:sz w:val="22"/>
          <w:szCs w:val="22"/>
        </w:rPr>
        <w:t xml:space="preserve">Le plafond en euros : si l'objectif de 8 Md€ est atteint, la dette ne peut pas dépasser 24 Md€ fin 2027 ; la dette de juin 2026 (24 548 M€) est déjà au-dessus. Chaque 0,5 Md€ d'EBITDA en plus libère 1,5 Md€ : la capacité dépend plus de l'EBITDA que de n'importe quelle décision d'allocation.</w:t>
      </w:r>
    </w:p>
    <w:p>
      <w:pPr>
        <w:pStyle w:val="ListParagraph"/>
        <w:numPr>
          <w:ilvl w:val="0"/>
          <w:numId w:val="6"/>
        </w:numPr>
        <w:spacing w:after="80"/>
      </w:pPr>
      <w:r>
        <w:rPr>
          <w:rFonts w:ascii="Arial" w:cs="Arial" w:eastAsia="Arial" w:hAnsi="Arial"/>
          <w:sz w:val="22"/>
          <w:szCs w:val="22"/>
        </w:rPr>
        <w:t xml:space="preserve">Fin 2026, le modèle donne 3,02x (dette 22 669 M€, EBITDA 7 512 M€). Il retombe dans la guidance sans réglage : c'est le test de calibrage.</w:t>
      </w:r>
    </w:p>
    <w:p>
      <w:pPr>
        <w:pStyle w:val="ListParagraph"/>
        <w:numPr>
          <w:ilvl w:val="0"/>
          <w:numId w:val="6"/>
        </w:numPr>
        <w:spacing w:after="80"/>
      </w:pPr>
      <w:r>
        <w:rPr>
          <w:rFonts w:ascii="Arial" w:cs="Arial" w:eastAsia="Arial" w:hAnsi="Arial"/>
          <w:sz w:val="22"/>
          <w:szCs w:val="22"/>
        </w:rPr>
        <w:t xml:space="preserve">Fin 2027 : 2,80x, marge de 1 571 M€ sous 3x. Avec la moitié des hybrides en dette, le ratio passe à 3,06x et la marge disparaît ; avec tous les hybrides, 3,32x.</w:t>
      </w:r>
    </w:p>
    <w:p>
      <w:pPr>
        <w:pStyle w:val="ListParagraph"/>
        <w:numPr>
          <w:ilvl w:val="0"/>
          <w:numId w:val="6"/>
        </w:numPr>
        <w:spacing w:after="80"/>
      </w:pPr>
      <w:r>
        <w:rPr>
          <w:rFonts w:ascii="Arial" w:cs="Arial" w:eastAsia="Arial" w:hAnsi="Arial"/>
          <w:sz w:val="22"/>
          <w:szCs w:val="22"/>
        </w:rPr>
        <w:t xml:space="preserve">Les agences, publiées par Veolia elle-même sur sa page « Debt and ratings » : Moody's (Baa1 stable, mai 2026) mesure FFO / dette nette ajustée à 20,3 % en 2025 et attend 18-19 % en 2026 avec un pic de dette ajustée vers 29 Md€ ; dégradation si le ratio passe sous « high teens ». S&amp;P (BBB stable, avril 2026) : dégradation si FFO / dette ne reste pas durablement au-dessus de 18 %. La dette ajustée des agences dépasse de 5,7 Md€ la dette nette publiée : hybrides comptés en partie, pensions, provisions.</w:t>
      </w:r>
    </w:p>
    <w:p>
      <w:pPr>
        <w:pStyle w:val="ListParagraph"/>
        <w:numPr>
          <w:ilvl w:val="0"/>
          <w:numId w:val="6"/>
        </w:numPr>
        <w:spacing w:after="80"/>
      </w:pPr>
      <w:r>
        <w:rPr>
          <w:rFonts w:ascii="Arial" w:cs="Arial" w:eastAsia="Arial" w:hAnsi="Arial"/>
          <w:sz w:val="22"/>
          <w:szCs w:val="22"/>
        </w:rPr>
        <w:t xml:space="preserve">La réconciliation, poste par poste (Moody's Exhibit 13) : dette brute publiée 29 518,0 M€ (c'est le sous-total des emprunts du DEU, 29 518), plus pensions 647,0, hybrides à 50 % 2 050,0, titrisation 1 014,0, retraitements 1 650,0 = 34 879,0 ; moins une trésorerie retenue de 9 475,0 = 25 404,0. Les hybrides pèsent 36 % de l'écart. Moody's mesure 3,7x de dette nette / EBITDA ajustés là où Veolia publie 2,79x : même entreprise, deux définitions.</w:t>
      </w:r>
    </w:p>
    <w:p>
      <w:pPr>
        <w:pStyle w:val="ListParagraph"/>
        <w:numPr>
          <w:ilvl w:val="0"/>
          <w:numId w:val="6"/>
        </w:numPr>
        <w:spacing w:after="80"/>
      </w:pPr>
      <w:r>
        <w:rPr>
          <w:rFonts w:ascii="Arial" w:cs="Arial" w:eastAsia="Arial" w:hAnsi="Arial"/>
          <w:sz w:val="22"/>
          <w:szCs w:val="22"/>
        </w:rPr>
        <w:t xml:space="preserve">Le mur de refinancement n'en est pas un : les flux contractuels de dette 2026 (9 642 M€, dont 4 933 de billets de trésorerie renouvelés en continu) sont couverts 1,65x par 15 911 M€ de liquidités, dont une ligne syndiquée de 4 500 M€ non tirée jusqu'en 2030 ; 2027 pèse 3 891 M€ (DEU p.421). Aucun covenant financier sur la dette de Veolia Environnement (p.422). Ce que le mur change, c'est le FFO : les souches de 2027-2028 portent des coupons de 0 à 1,6 % et se refinanceront vers 3,3 % (émission de juin 2025), soit ~74 M€ d'intérêts de plus par an (1,4 % du FFO).</w:t>
      </w:r>
    </w:p>
    <w:p>
      <w:pPr>
        <w:pStyle w:val="ListParagraph"/>
        <w:numPr>
          <w:ilvl w:val="0"/>
          <w:numId w:val="6"/>
        </w:numPr>
        <w:spacing w:after="80"/>
      </w:pPr>
      <w:r>
        <w:rPr>
          <w:rFonts w:ascii="Arial" w:cs="Arial" w:eastAsia="Arial" w:hAnsi="Arial"/>
          <w:sz w:val="22"/>
          <w:szCs w:val="22"/>
        </w:rPr>
        <w:t xml:space="preserve">Le FFO des agences se reconstitue depuis le tableau de flux : capacité d'autofinancement avant BFR 6 144 M€, moins impôts et intérêts payés, plus remboursements d'actifs financiers opérationnels et dividendes reçus = 5 157 M€, contre 5 160 publiés par Moody's (écart −0,1 %). Le classeur le contrôle à ± 5 % sur 2024 et 2025.</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5"/>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5"/>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hd w:fill="FFF2A8" w:color="auto" w:val="clear"/>
        <w:spacing w:after="160" w:before="160"/>
      </w:pPr>
      <w:r>
        <w:rPr>
          <w:rFonts w:ascii="Arial" w:cs="Arial" w:eastAsia="Arial" w:hAnsi="Arial"/>
          <w:i/>
          <w:iCs/>
          <w:sz w:val="22"/>
          <w:szCs w:val="22"/>
        </w:rPr>
        <w:t xml:space="preserve">[Section signée par : ______ ] — dans le classeur : Trajectoire, Sensibilité, Cessions §C, Pont de dette, Pont EBITDA</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Le cash-flow libre net (1 178 M€ en 2025) paie à peine les dividendes : la marge vient de la croissance de l'EBITDA et des cessions. Ce qui bouge le plus la marge de fin 2027 : Part du reste du programme encaissée en 2027 (0,96 Md€); Croissance organique de l'EBITDA en 2027 (0,72 Md€); Tuck-ins payés en 2027 (0,68 Md€). Si tout tourne mal en même temps, la marge devient négative (−500 M€).</w:t>
      </w:r>
    </w:p>
    <w:p>
      <w:pPr>
        <w:pStyle w:val="Heading2"/>
        <w:spacing w:after="120" w:before="240"/>
      </w:pPr>
      <w:r>
        <w:rPr>
          <w:rFonts w:ascii="Arial" w:cs="Arial" w:eastAsia="Arial" w:hAnsi="Arial"/>
        </w:rPr>
        <w:t xml:space="preserve">Raisonnement</w:t>
      </w:r>
    </w:p>
    <w:p>
      <w:pPr>
        <w:pStyle w:val="ListParagraph"/>
        <w:numPr>
          <w:ilvl w:val="0"/>
          <w:numId w:val="7"/>
        </w:numPr>
        <w:spacing w:after="80"/>
      </w:pPr>
      <w:r>
        <w:rPr>
          <w:rFonts w:ascii="Arial" w:cs="Arial" w:eastAsia="Arial" w:hAnsi="Arial"/>
          <w:sz w:val="22"/>
          <w:szCs w:val="22"/>
        </w:rPr>
        <w:t xml:space="preserve">La saisonnalité d'abord : le premier semestre consomme du cash (BFR −1 238 M€), le second en rend (1 629 M€ en 2025). Toute analyse en juin doit en tenir compte.</w:t>
      </w:r>
    </w:p>
    <w:p>
      <w:pPr>
        <w:pStyle w:val="ListParagraph"/>
        <w:numPr>
          <w:ilvl w:val="0"/>
          <w:numId w:val="7"/>
        </w:numPr>
        <w:spacing w:after="80"/>
      </w:pPr>
      <w:r>
        <w:rPr>
          <w:rFonts w:ascii="Arial" w:cs="Arial" w:eastAsia="Arial" w:hAnsi="Arial"/>
          <w:sz w:val="22"/>
          <w:szCs w:val="22"/>
        </w:rPr>
        <w:t xml:space="preserve">Le calendrier : 0,1 Md€ encaissés, environ 0,5 Md€ de signatures attendues en 2026, le solde d'ici mi-2028. Signer n'est pas encaisser : le scénario central encaisse la moitié des signatures en 2026 et la moitié du reste en 2027.</w:t>
      </w:r>
    </w:p>
    <w:p>
      <w:pPr>
        <w:pStyle w:val="ListParagraph"/>
        <w:numPr>
          <w:ilvl w:val="0"/>
          <w:numId w:val="7"/>
        </w:numPr>
        <w:spacing w:after="80"/>
      </w:pPr>
      <w:r>
        <w:rPr>
          <w:rFonts w:ascii="Arial" w:cs="Arial" w:eastAsia="Arial" w:hAnsi="Arial"/>
          <w:sz w:val="22"/>
          <w:szCs w:val="22"/>
        </w:rPr>
        <w:t xml:space="preserve">Ce que vaut chaque levier sur la marge 2027 : EBITDA 2027 317, Cash-flow libre 100, Cessions (au multiple central) 70, Tuck-ins (au multiple des tuck-ins) −69, Dividendes −100, Dette requalifiée (hybrides, provisions) −100 (M€ pour +100 M€).</w:t>
      </w:r>
    </w:p>
    <w:p>
      <w:pPr>
        <w:pStyle w:val="ListParagraph"/>
        <w:numPr>
          <w:ilvl w:val="0"/>
          <w:numId w:val="7"/>
        </w:numPr>
        <w:spacing w:after="80"/>
      </w:pPr>
      <w:r>
        <w:rPr>
          <w:rFonts w:ascii="Arial" w:cs="Arial" w:eastAsia="Arial" w:hAnsi="Arial"/>
          <w:sz w:val="22"/>
          <w:szCs w:val="22"/>
        </w:rPr>
        <w:t xml:space="preserve">Le classement : 1. Part du reste du programme encaissée en 2027 (956 M€); 2. Croissance organique de l'EBITDA en 2027 (721 M€); 3. Tuck-ins payés en 2027 (677 M€); 4. Cash-flow libre net du S2 2026 (489 M€); 5. Conversion cash-flow libre net / EBITDA en 2027 (399 M€); 6. Croissance organique de l'EBITDA en 2026 (236 M€).</w:t>
      </w:r>
    </w:p>
    <w:p>
      <w:pPr>
        <w:pStyle w:val="ListParagraph"/>
        <w:numPr>
          <w:ilvl w:val="0"/>
          <w:numId w:val="7"/>
        </w:numPr>
        <w:spacing w:after="80"/>
      </w:pPr>
      <w:r>
        <w:rPr>
          <w:rFonts w:ascii="Arial" w:cs="Arial" w:eastAsia="Arial" w:hAnsi="Arial"/>
          <w:sz w:val="22"/>
          <w:szCs w:val="22"/>
        </w:rPr>
        <w:t xml:space="preserve">Les combinaisons : tout défavorable donne −500 M€, tout favorable 3 491 M€. La réponse dépend moins du point central que du calendrier des cessions.</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−500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Aucun multiple de cession n'est publié : on suppose 10x, entre 8x et 12x.</w:t>
      </w:r>
    </w:p>
    <w:p>
      <w:pPr>
        <w:pStyle w:val="ListParagraph"/>
        <w:numPr>
          <w:ilvl w:val="0"/>
          <w:numId w:val="5"/>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5"/>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hd w:fill="FFF2A8" w:color="auto" w:val="clear"/>
        <w:spacing w:after="160" w:before="160"/>
      </w:pPr>
      <w:r>
        <w:rPr>
          <w:rFonts w:ascii="Arial" w:cs="Arial" w:eastAsia="Arial" w:hAnsi="Arial"/>
          <w:i/>
          <w:iCs/>
          <w:sz w:val="22"/>
          <w:szCs w:val="22"/>
        </w:rPr>
        <w:t xml:space="preserve">[Section signée par : ______ ] — dans le classeur : Segments, Pont EBITDA, Booster</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En volume, l'objectif est passé de 10 Mt (« déchets dangereux et polluants ») à 9 Mt : Veolia, à 9 181 kt, tient l'objectif révisé mais reste à 819 kt de l'initial. En valeur, l'ambition de plus de 10 % par an d'EBITDA repose sur Clean Earth : en Europe, le chiffre d'affaires recule de 0,2 % en organique. Côté segments, la croissance vient des Amériques (EBITDA organique +9,3 %) et de Water Technologies (+14,1 %), pas de l'Europe (+1,8 %) : au rythme de 2025, l'EBITDA 2027 atteindrait 8,09 Md€, l'objectif tient. Chez Clean Harbors, le comparable direct, la marge est de 19,4 % ; chez Clean Earth vu par son vendeur, 15,9 % sur un EBITDA 2025 reconstitué de 155 M$, un tiers sous les 200 M$ 2026E de Veolia. Les 8 Md€ sont d'abord un plan de coûts : l'efficacité promise (350 M€ par an, GreenUp p.58) couvre 93 % de l'écart entre la base 2023 (6,5 Md€) et l'objectif ; en 2025, les 399 M€ de gains d'efficacité expliquent 93 % de la croissance organique de l'EBITDA (+6,3 %, soit ~428 M€), et hors efficacité et synergies Suez l'EBITDA organique recule d'environ 70 M€. Sans efficacité en 2026-2027, la marge sous 3x fin 2027 passe de 1 571 à −529 M€.</w:t>
      </w:r>
    </w:p>
    <w:p>
      <w:pPr>
        <w:pStyle w:val="Heading2"/>
        <w:spacing w:after="120" w:before="240"/>
      </w:pPr>
      <w:r>
        <w:rPr>
          <w:rFonts w:ascii="Arial" w:cs="Arial" w:eastAsia="Arial" w:hAnsi="Arial"/>
        </w:rPr>
        <w:t xml:space="preserve">Raisonnement</w:t>
      </w:r>
    </w:p>
    <w:p>
      <w:pPr>
        <w:pStyle w:val="ListParagraph"/>
        <w:numPr>
          <w:ilvl w:val="0"/>
          <w:numId w:val="8"/>
        </w:numPr>
        <w:spacing w:after="80"/>
      </w:pPr>
      <w:r>
        <w:rPr>
          <w:rFonts w:ascii="Arial" w:cs="Arial" w:eastAsia="Arial" w:hAnsi="Arial"/>
          <w:sz w:val="22"/>
          <w:szCs w:val="22"/>
        </w:rPr>
        <w:t xml:space="preserve">Volumes : l'objectif a changé de niveau et de périmètre entre GreenUp (2024) et le DEU 2025. Le dire avant de comparer.</w:t>
      </w:r>
    </w:p>
    <w:p>
      <w:pPr>
        <w:pStyle w:val="ListParagraph"/>
        <w:numPr>
          <w:ilvl w:val="0"/>
          <w:numId w:val="8"/>
        </w:numPr>
        <w:spacing w:after="80"/>
      </w:pPr>
      <w:r>
        <w:rPr>
          <w:rFonts w:ascii="Arial" w:cs="Arial" w:eastAsia="Arial" w:hAnsi="Arial"/>
          <w:sz w:val="22"/>
          <w:szCs w:val="22"/>
        </w:rPr>
        <w:t xml:space="preserve">Profil financier : avec Clean Earth, le métier pèse 5,2 Md€ de chiffre d'affaires et 0,9 Md€ d'EBITDA. À +10 % par an depuis ce pro forma, on viserait environ 1,09 Md€ en 2027 (illustratif).</w:t>
      </w:r>
    </w:p>
    <w:p>
      <w:pPr>
        <w:pStyle w:val="ListParagraph"/>
        <w:numPr>
          <w:ilvl w:val="0"/>
          <w:numId w:val="8"/>
        </w:numPr>
        <w:spacing w:after="80"/>
      </w:pPr>
      <w:r>
        <w:rPr>
          <w:rFonts w:ascii="Arial" w:cs="Arial" w:eastAsia="Arial" w:hAnsi="Arial"/>
          <w:sz w:val="22"/>
          <w:szCs w:val="22"/>
        </w:rPr>
        <w:t xml:space="preserve">Moteur organique : l'Europe est à −0,2 % au S1 2026, les Amériques progressent de 10,9 % en publié. La croissance du booster est achetée plus que générée.</w:t>
      </w:r>
    </w:p>
    <w:p>
      <w:pPr>
        <w:pStyle w:val="ListParagraph"/>
        <w:numPr>
          <w:ilvl w:val="0"/>
          <w:numId w:val="8"/>
        </w:numPr>
        <w:spacing w:after="80"/>
      </w:pPr>
      <w:r>
        <w:rPr>
          <w:rFonts w:ascii="Arial" w:cs="Arial" w:eastAsia="Arial" w:hAnsi="Arial"/>
          <w:sz w:val="22"/>
          <w:szCs w:val="22"/>
        </w:rPr>
        <w:t xml:space="preserve">Les segments (question 1 du cours) : Amériques +9,3 % et Water Technologies +14,1 % d'EBITDA organique en 2025, Europe +1,8 %, France-DD +6 % publié. Les boosters font 13 191 M€ de CA et 1 668 M€ d'EBITDA (+12,1 % organique). Prolongé deux ans, ce rythme donne 8,09 Md€ en 2027 : l'objectif tient, mais par les Amériques et les technologies de l'eau, pas par l'Europe.</w:t>
      </w:r>
    </w:p>
    <w:p>
      <w:pPr>
        <w:pStyle w:val="ListParagraph"/>
        <w:numPr>
          <w:ilvl w:val="0"/>
          <w:numId w:val="8"/>
        </w:numPr>
        <w:spacing w:after="80"/>
      </w:pPr>
      <w:r>
        <w:rPr>
          <w:rFonts w:ascii="Arial" w:cs="Arial" w:eastAsia="Arial" w:hAnsi="Arial"/>
          <w:sz w:val="22"/>
          <w:szCs w:val="22"/>
        </w:rPr>
        <w:t xml:space="preserve">Clean Earth vu du vendeur : 973,9 M$ de chiffre d'affaires et 91,7 M$ de résultat opérationnel en 2025, soit 155 M$ d'EBITDA une fois les 63,4 M$ de D&amp;A rajoutés. Veolia paie 9,8x un EBITDA 2026E de 200 M$, 29 % plus haut : sur l'EBITDA du vendeur, le prix ressort à 19,3x.</w:t>
      </w:r>
    </w:p>
    <w:p>
      <w:pPr>
        <w:pStyle w:val="ListParagraph"/>
        <w:numPr>
          <w:ilvl w:val="0"/>
          <w:numId w:val="8"/>
        </w:numPr>
        <w:spacing w:after="80"/>
      </w:pPr>
      <w:r>
        <w:rPr>
          <w:rFonts w:ascii="Arial" w:cs="Arial" w:eastAsia="Arial" w:hAnsi="Arial"/>
          <w:sz w:val="22"/>
          <w:szCs w:val="22"/>
        </w:rPr>
        <w:t xml:space="preserve">Comparabilité : même mix (incinération, traitement physico-chimique, centres de stockage spécialisés), même géographie que le booster américain, et même définition d'EBITDA et de levier — Clean Harbors publie un EBITDA « ajusté » selon sa propre définition, Veolia un EBITDA IFRS 16 inclus.</w:t>
      </w:r>
    </w:p>
    <w:p>
      <w:pPr>
        <w:pStyle w:val="ListParagraph"/>
        <w:numPr>
          <w:ilvl w:val="0"/>
          <w:numId w:val="8"/>
        </w:numPr>
        <w:spacing w:after="80"/>
      </w:pPr>
      <w:r>
        <w:rPr>
          <w:rFonts w:ascii="Arial" w:cs="Arial" w:eastAsia="Arial" w:hAnsi="Arial"/>
          <w:sz w:val="22"/>
          <w:szCs w:val="22"/>
        </w:rPr>
        <w:t xml:space="preserve">Candidats : Clean Harbors (États-Unis, concurrent direct de Clean Earth, dans la dataroom), Enviri (le vendeur : ses comptes donnent l'historique de la cible). Republic Services n'est comparable que par sa filiale US Ecology.</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5"/>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5"/>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5"/>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5"/>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hd w:fill="FFF2A8" w:color="auto" w:val="clear"/>
        <w:spacing w:after="160" w:before="160"/>
      </w:pPr>
      <w:r>
        <w:rPr>
          <w:rFonts w:ascii="Arial" w:cs="Arial" w:eastAsia="Arial" w:hAnsi="Arial"/>
          <w:i/>
          <w:iCs/>
          <w:sz w:val="22"/>
          <w:szCs w:val="22"/>
        </w:rPr>
        <w:t xml:space="preserve">[Section signée par : ______ ] — dans le classeur : ESG</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Veolia porte 1 290 M€ de provisions de fermeture et post-fermeture (0,17x d'EBITDA), en hausse de 76 M€ au S1 2026, dont +54 M€ dans le segment où est entré Clean Earth. Mais 81 % du prix de Clean Earth est encore du goodwill : l'affectation du prix n'est pas faite, donc la juste valeur de ses passifs environnementaux n'apparaît pas encore chez Veolia. Les comparables donnent l'ordre de grandeur : Clean Harbors porte 3,8 % de son chiffre d'affaires en passifs environnementaux ; appliqué au chiffre d'affaires de Clean Earth, cela ferait 37 M$. Le groupe Enviri entier en porte 51 M$. C'est une analogie, pas une mesure.</w:t>
      </w:r>
    </w:p>
    <w:p>
      <w:pPr>
        <w:pStyle w:val="Heading2"/>
        <w:spacing w:after="120" w:before="240"/>
      </w:pPr>
      <w:r>
        <w:rPr>
          <w:rFonts w:ascii="Arial" w:cs="Arial" w:eastAsia="Arial" w:hAnsi="Arial"/>
        </w:rPr>
        <w:t xml:space="preserve">Raisonnement</w:t>
      </w:r>
    </w:p>
    <w:p>
      <w:pPr>
        <w:pStyle w:val="ListParagraph"/>
        <w:numPr>
          <w:ilvl w:val="0"/>
          <w:numId w:val="9"/>
        </w:numPr>
        <w:spacing w:after="80"/>
      </w:pPr>
      <w:r>
        <w:rPr>
          <w:rFonts w:ascii="Arial" w:cs="Arial" w:eastAsia="Arial" w:hAnsi="Arial"/>
          <w:sz w:val="22"/>
          <w:szCs w:val="22"/>
        </w:rPr>
        <w:t xml:space="preserve">Le stock : 1 214 M€ fin 2025, surtout de la réhabilitation de sites ; il coûte 72 M€ par an de désactualisation, une charge financière qui ne passe pas dans l'EBITDA.</w:t>
      </w:r>
    </w:p>
    <w:p>
      <w:pPr>
        <w:pStyle w:val="ListParagraph"/>
        <w:numPr>
          <w:ilvl w:val="0"/>
          <w:numId w:val="9"/>
        </w:numPr>
        <w:spacing w:after="80"/>
      </w:pPr>
      <w:r>
        <w:rPr>
          <w:rFonts w:ascii="Arial" w:cs="Arial" w:eastAsia="Arial" w:hAnsi="Arial"/>
          <w:sz w:val="22"/>
          <w:szCs w:val="22"/>
        </w:rPr>
        <w:t xml:space="preserve">Ce que Clean Earth a ajouté jusqu'ici : la hausse du segment Amériques est compatible avec son entrée, mais Veolia ne l'attribue pas.</w:t>
      </w:r>
    </w:p>
    <w:p>
      <w:pPr>
        <w:pStyle w:val="ListParagraph"/>
        <w:numPr>
          <w:ilvl w:val="0"/>
          <w:numId w:val="9"/>
        </w:numPr>
        <w:spacing w:after="80"/>
      </w:pPr>
      <w:r>
        <w:rPr>
          <w:rFonts w:ascii="Arial" w:cs="Arial" w:eastAsia="Arial" w:hAnsi="Arial"/>
          <w:sz w:val="22"/>
          <w:szCs w:val="22"/>
        </w:rPr>
        <w:t xml:space="preserve">Ce qu'on ne voit pas : 81 % du prix reste en goodwill préliminaire (amendement p.53). IFRS 3 laisse douze mois pour affecter le prix : la juste valeur des passifs de la cible arrivera au plus tard mi-2027.</w:t>
      </w:r>
    </w:p>
    <w:p>
      <w:pPr>
        <w:pStyle w:val="ListParagraph"/>
        <w:numPr>
          <w:ilvl w:val="0"/>
          <w:numId w:val="9"/>
        </w:numPr>
        <w:spacing w:after="80"/>
      </w:pPr>
      <w:r>
        <w:rPr>
          <w:rFonts w:ascii="Arial" w:cs="Arial" w:eastAsia="Arial" w:hAnsi="Arial"/>
          <w:sz w:val="22"/>
          <w:szCs w:val="22"/>
        </w:rPr>
        <w:t xml:space="preserve">L'exposition : 82 sites spécialisés et 700 permis aux États-Unis, une croissance attendue sur les PFAS. Ce qui est une opportunité de marché est aussi un risque de passif.</w:t>
      </w:r>
    </w:p>
    <w:p>
      <w:pPr>
        <w:pStyle w:val="ListParagraph"/>
        <w:numPr>
          <w:ilvl w:val="0"/>
          <w:numId w:val="9"/>
        </w:numPr>
        <w:spacing w:after="80"/>
      </w:pPr>
      <w:r>
        <w:rPr>
          <w:rFonts w:ascii="Arial" w:cs="Arial" w:eastAsia="Arial" w:hAnsi="Arial"/>
          <w:sz w:val="22"/>
          <w:szCs w:val="22"/>
        </w:rPr>
        <w:t xml:space="preserve">Lu en dette élargie (provisions de fermeture comprises), le levier de 2027 gagne environ 0,16x.</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5"/>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5"/>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hd w:fill="FFF2A8" w:color="auto" w:val="clear"/>
        <w:spacing w:after="160" w:before="160"/>
      </w:pPr>
      <w:r>
        <w:rPr>
          <w:rFonts w:ascii="Arial" w:cs="Arial" w:eastAsia="Arial" w:hAnsi="Arial"/>
          <w:i/>
          <w:iCs/>
          <w:sz w:val="22"/>
          <w:szCs w:val="22"/>
        </w:rPr>
        <w:t xml:space="preserve">[Section signée par : ______ ] — dans le classeur : Cibles</w:t>
      </w:r>
    </w:p>
    <w:p>
      <w:pPr>
        <w:pStyle w:val="Heading2"/>
        <w:spacing w:after="120" w:before="240"/>
      </w:pPr>
      <w:r>
        <w:rPr>
          <w:rFonts w:ascii="Arial" w:cs="Arial" w:eastAsia="Arial" w:hAnsi="Arial"/>
        </w:rPr>
        <w:t xml:space="preserve">Réponse</w:t>
      </w:r>
    </w:p>
    <w:p>
      <w:pPr>
        <w:spacing w:after="120" w:line="300"/>
      </w:pPr>
      <w:r>
        <w:rPr>
          <w:rFonts w:ascii="Arial" w:cs="Arial" w:eastAsia="Arial" w:hAnsi="Arial"/>
          <w:sz w:val="22"/>
          <w:szCs w:val="22"/>
        </w:rPr>
        <w:t xml:space="preserve">Fin 2027, la marge centrale permet une acquisition d'environ 2,3 Md€ au multiple de Clean Earth, moins que Clean Earth lui-même (2,8 Md€). Dans le scénario défavorable, rien. Recommandation proposée : pas de nouvelle grande opération avant l'encaissement du programme de cessions ; des tuck-ins au bas de la fourchette en 2027 ; une cible de 1 à 2 Md€ seulement une fois les cessions encaissées.</w:t>
      </w:r>
    </w:p>
    <w:p>
      <w:pPr>
        <w:pStyle w:val="Heading2"/>
        <w:spacing w:after="120" w:before="240"/>
      </w:pPr>
      <w:r>
        <w:rPr>
          <w:rFonts w:ascii="Arial" w:cs="Arial" w:eastAsia="Arial" w:hAnsi="Arial"/>
        </w:rPr>
        <w:t xml:space="preserve">Raisonnement</w:t>
      </w:r>
    </w:p>
    <w:p>
      <w:pPr>
        <w:pStyle w:val="ListParagraph"/>
        <w:numPr>
          <w:ilvl w:val="0"/>
          <w:numId w:val="10"/>
        </w:numPr>
        <w:spacing w:after="80"/>
      </w:pPr>
      <w:r>
        <w:rPr>
          <w:rFonts w:ascii="Arial" w:cs="Arial" w:eastAsia="Arial" w:hAnsi="Arial"/>
          <w:sz w:val="22"/>
          <w:szCs w:val="22"/>
        </w:rPr>
        <w:t xml:space="preserve">La formule : une acquisition ajoute son prix à la dette mais seulement prix / multiple à l'EBITDA. Elle tient sous 3x tant que prix ≤ marge / (1 − 3 / multiple).</w:t>
      </w:r>
    </w:p>
    <w:p>
      <w:pPr>
        <w:pStyle w:val="ListParagraph"/>
        <w:numPr>
          <w:ilvl w:val="0"/>
          <w:numId w:val="10"/>
        </w:numPr>
        <w:spacing w:after="80"/>
      </w:pPr>
      <w:r>
        <w:rPr>
          <w:rFonts w:ascii="Arial" w:cs="Arial" w:eastAsia="Arial" w:hAnsi="Arial"/>
          <w:sz w:val="22"/>
          <w:szCs w:val="22"/>
        </w:rPr>
        <w:t xml:space="preserve">La grille : au multiple de Clean Earth, 2,51 Md€ en central, 0 en défavorable, 5,59 Md€ en favorable ; à 12x, 2,09 Md€ en central.</w:t>
      </w:r>
    </w:p>
    <w:p>
      <w:pPr>
        <w:pStyle w:val="ListParagraph"/>
        <w:numPr>
          <w:ilvl w:val="0"/>
          <w:numId w:val="10"/>
        </w:numPr>
        <w:spacing w:after="80"/>
      </w:pPr>
      <w:r>
        <w:rPr>
          <w:rFonts w:ascii="Arial" w:cs="Arial" w:eastAsia="Arial" w:hAnsi="Arial"/>
          <w:sz w:val="22"/>
          <w:szCs w:val="22"/>
        </w:rPr>
        <w:t xml:space="preserve">Le calibrage : Clean Earth ne passerait plus. Quatre multiples circulent pour lui : 19,3x sur l'EBITDA 2025 publié par le vendeur (reconstitué, onglet Booster §E), 15,0x sur l'EBITDA 2026E avant synergies, 9,8x publié après synergies (non recalculable : 9,4x avec les chiffres publiés), et 18,6x l'EBITDA ajusté des douze derniers mois selon Enviri (document à verser).</w:t>
      </w:r>
    </w:p>
    <w:p>
      <w:pPr>
        <w:pStyle w:val="ListParagraph"/>
        <w:numPr>
          <w:ilvl w:val="0"/>
          <w:numId w:val="10"/>
        </w:numPr>
        <w:spacing w:after="80"/>
      </w:pPr>
      <w:r>
        <w:rPr>
          <w:rFonts w:ascii="Arial" w:cs="Arial" w:eastAsia="Arial" w:hAnsi="Arial"/>
          <w:sz w:val="22"/>
          <w:szCs w:val="22"/>
        </w:rPr>
        <w:t xml:space="preserve">Les critères de cible : actifs de traitement (pas de collecte seule), géographie des boosters (États-Unis, Asie), PFAS et nouveaux polluants, taille compatible avec la grille, et pas de doublon de concurrence en Europe, où Veolia est déjà numéro un (présentation Clean Earth p.9).</w:t>
      </w:r>
    </w:p>
    <w:p>
      <w:pPr>
        <w:pStyle w:val="ListParagraph"/>
        <w:numPr>
          <w:ilvl w:val="0"/>
          <w:numId w:val="10"/>
        </w:numPr>
        <w:spacing w:after="80"/>
      </w:pPr>
      <w:r>
        <w:rPr>
          <w:rFonts w:ascii="Arial" w:cs="Arial" w:eastAsia="Arial" w:hAnsi="Arial"/>
          <w:sz w:val="22"/>
          <w:szCs w:val="22"/>
        </w:rPr>
        <w:t xml:space="preserve">L'univers reste à construire : aucun document de la dataroom ne nomme une cible disponible ; les candidats viendront de la presse et des rapports de pairs, chacun avec sa valeur publiée ou « non communiqué ».</w:t>
      </w:r>
    </w:p>
    <w:p>
      <w:pPr>
        <w:shd w:fill="FFF2A8" w:color="auto" w:val="clear"/>
        <w:spacing w:after="160" w:before="160"/>
      </w:pPr>
      <w:r>
        <w:rPr>
          <w:rFonts w:ascii="Arial" w:cs="Arial" w:eastAsia="Arial" w:hAnsi="Arial"/>
          <w:i/>
          <w:iCs/>
          <w:sz w:val="22"/>
          <w:szCs w:val="22"/>
        </w:rPr>
        <w:t xml:space="preserve">[À rédiger] Le développement de la section : 6 à 9 pages, chaque chiffre avec son identifiant F… du registre.</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5"/>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5"/>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5"/>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5 031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5"/>
        </w:numPr>
        <w:spacing w:after="80"/>
      </w:pPr>
      <w:r>
        <w:rPr>
          <w:rFonts w:ascii="Arial" w:cs="Arial" w:eastAsia="Arial" w:hAnsi="Arial"/>
          <w:sz w:val="22"/>
          <w:szCs w:val="22"/>
        </w:rPr>
        <w:t xml:space="preserve">Relire en croisé les 447 chiffres du registre et les 26 deals : aucun n'a encore de relecteur.</w:t>
      </w:r>
    </w:p>
    <w:p>
      <w:pPr>
        <w:pStyle w:val="ListParagraph"/>
        <w:numPr>
          <w:ilvl w:val="0"/>
          <w:numId w:val="5"/>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5"/>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5"/>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5"/>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5"/>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447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5"/>
        </w:numPr>
        <w:spacing w:after="80"/>
      </w:pPr>
      <w:r>
        <w:rPr>
          <w:rFonts w:ascii="Arial" w:cs="Arial" w:eastAsia="Arial" w:hAnsi="Arial"/>
          <w:sz w:val="22"/>
          <w:szCs w:val="22"/>
        </w:rPr>
        <w:t xml:space="preserve">Dataroom : un serveur MCP privé au groupe, qui indexe les documents publics versés dans le vault et ne sait que chercher, lire une page et citer (fichier, page, URL, date de consultation). Il ne calcule rien, ne résume rien et ne produit aucun chiffre : chaque chiffre du registre a été lu par un membre sur la page citée, puis relu par un autre.</w:t>
      </w:r>
    </w:p>
    <w:p>
      <w:pPr>
        <w:pStyle w:val="ListParagraph"/>
        <w:numPr>
          <w:ilvl w:val="0"/>
          <w:numId w:val="5"/>
        </w:numPr>
        <w:spacing w:after="80"/>
      </w:pPr>
      <w:r>
        <w:rPr>
          <w:rFonts w:ascii="Arial" w:cs="Arial" w:eastAsia="Arial" w:hAnsi="Arial"/>
          <w:sz w:val="22"/>
          <w:szCs w:val="22"/>
        </w:rPr>
        <w:t xml:space="preserve">Claude (Anthropic), via Claude Code : a construit le serveur, le registre, les contrôles automatiques, le générateur du classeur Excel et celui de ce squelette. Le classeur ne contient que des formules ; ses entrées sont les lignes du registre.</w:t>
      </w:r>
    </w:p>
    <w:p>
      <w:pPr>
        <w:pStyle w:val="ListParagraph"/>
        <w:numPr>
          <w:ilvl w:val="0"/>
          <w:numId w:val="5"/>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5"/>
        </w:numPr>
        <w:spacing w:after="80"/>
      </w:pPr>
      <w:r>
        <w:rPr>
          <w:rFonts w:ascii="Arial" w:cs="Arial" w:eastAsia="Arial" w:hAnsi="Arial"/>
          <w:sz w:val="22"/>
          <w:szCs w:val="22"/>
        </w:rPr>
        <w:t xml:space="preserve">Règle tenue : aucun nombre, aucune source et aucune citation n'ont été produits par un modèle de langage. Le modèle construit l'outil qui calcule ; il ne calcule pas.</w:t>
      </w:r>
    </w:p>
    <w:p>
      <w:pPr>
        <w:shd w:fill="FFF2A8" w:color="auto" w:val="clear"/>
        <w:spacing w:after="160" w:before="160"/>
      </w:pPr>
      <w:r>
        <w:rPr>
          <w:rFonts w:ascii="Arial" w:cs="Arial" w:eastAsia="Arial" w:hAnsi="Arial"/>
          <w:i/>
          <w:iCs/>
          <w:sz w:val="22"/>
          <w:szCs w:val="22"/>
        </w:rPr>
        <w:t xml:space="preserve">[À rédiger] Ce que le groupe a décidé sans l'outil : le choix des hypothèses, la recommandation, les cas où l'outil a été contredit après lecture. Puis un tableau : membre, outil, usage, période.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2026-10-06T10:52:41.176Z</dcterms:created>
  <dcterms:modified xsi:type="dcterms:W3CDTF">2026-10-06T10:52:41.176Z</dcterms:modified>
</cp:coreProperties>
</file>

<file path=docProps/custom.xml><?xml version="1.0" encoding="utf-8"?>
<Properties xmlns="http://schemas.openxmlformats.org/officeDocument/2006/custom-properties" xmlns:vt="http://schemas.openxmlformats.org/officeDocument/2006/docPropsVTypes"/>
</file>