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sz w:val="40"/>
          <w:szCs w:val="40"/>
        </w:rPr>
        <w:t xml:space="preserve">GreenUp 2027 : combien Veolia peut-elle encore acheter sans dépasser ses engagements de levier ?</w:t>
      </w:r>
    </w:p>
    <w:p>
      <w:pPr>
        <w:spacing w:after="600"/>
        <w:jc w:val="center"/>
      </w:pPr>
      <w:r>
        <w:rPr>
          <w:rFonts w:ascii="Arial" w:cs="Arial" w:eastAsia="Arial" w:hAnsi="Arial"/>
          <w:color w:val="555555"/>
          <w:sz w:val="26"/>
          <w:szCs w:val="26"/>
        </w:rPr>
        <w:t xml:space="preserve">Capstone Innovations in Finance — sujet 2, périmètre « capacité financière »</w:t>
      </w:r>
    </w:p>
    <w:p>
      <w:pPr>
        <w:spacing w:after="120" w:line="300"/>
        <w:jc w:val="center"/>
      </w:pPr>
      <w:r>
        <w:rPr>
          <w:rFonts w:ascii="Arial" w:cs="Arial" w:eastAsia="Arial" w:hAnsi="Arial"/>
          <w:sz w:val="22"/>
          <w:szCs w:val="22"/>
        </w:rPr>
        <w:t xml:space="preserve">Rapport écrit — remise le 25 novembre 2026</w:t>
      </w:r>
    </w:p>
    <w:p>
      <w:pPr>
        <w:spacing w:after="120" w:line="300"/>
        <w:jc w:val="center"/>
      </w:pPr>
      <w:r>
        <w:rPr>
          <w:rFonts w:ascii="Arial" w:cs="Arial" w:eastAsia="Arial" w:hAnsi="Arial"/>
          <w:i/>
          <w:iCs/>
          <w:sz w:val="22"/>
          <w:szCs w:val="22"/>
        </w:rPr>
        <w:t xml:space="preserve">Groupe : [[prénoms et noms, un par rôle]]</w:t>
      </w:r>
    </w:p>
    <w:p>
      <w:pPr>
        <w:spacing w:before="1200"/>
        <w:jc w:val="center"/>
      </w:pPr>
      <w:r>
        <w:rPr>
          <w:rFonts w:ascii="Arial" w:cs="Arial" w:eastAsia="Arial" w:hAnsi="Arial"/>
          <w:color w:val="555555"/>
          <w:sz w:val="18"/>
          <w:szCs w:val="18"/>
        </w:rPr>
        <w:t xml:space="preserve">Squelette généré le 2026-10-10 depuis la dataroom du groupe (670 chiffres sourcés ; contrôles du classeur : OK). Chaque chiffre cité renvoie à l'annexe A : fichier, page, URL, date de consultation. Les passages surlignés sont à rédiger par l'auteur de la section ; « † » après un identifiant : ligne que personne n'a encore relue.</w:t>
      </w:r>
    </w:p>
    <w:p>
      <w:pPr>
        <w:spacing w:before="240"/>
        <w:jc w:val="center"/>
      </w:pPr>
      <w:r>
        <w:rPr>
          <w:rFonts w:ascii="Arial" w:cs="Arial" w:eastAsia="Arial" w:hAnsi="Arial"/>
          <w:color w:val="555555"/>
          <w:sz w:val="18"/>
          <w:szCs w:val="18"/>
        </w:rPr>
        <w:t xml:space="preserve">Édition vérifiable, où chaque chiffre ouvre sa page source : </w:t>
      </w:r>
      <w:hyperlink w:history="1" r:id="rIdh3wnndxvcvxydqecwftod">
        <w:r>
          <w:rPr>
            <w:rStyle w:val="Hyperlink"/>
            <w:rFonts w:ascii="Arial" w:cs="Arial" w:eastAsia="Arial" w:hAnsi="Arial"/>
            <w:sz w:val="18"/>
            <w:szCs w:val="18"/>
          </w:rPr>
          <w:t xml:space="preserve">https://dataroom.is42.fr:8443/visualisation/rapport.html</w:t>
        </w:r>
      </w:hyperlink>
    </w:p>
    <w:p>
      <w:r>
        <w:br w:type="page"/>
      </w:r>
    </w:p>
    <w:p>
      <w:pPr>
        <w:pStyle w:val="Heading1"/>
        <w:spacing w:after="120" w:before="240"/>
      </w:pPr>
      <w:r>
        <w:rPr>
          <w:rFonts w:ascii="Arial" w:cs="Arial" w:eastAsia="Arial" w:hAnsi="Arial"/>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Arial" w:cs="Arial" w:eastAsia="Arial" w:hAnsi="Arial"/>
        </w:rPr>
        <w:t xml:space="preserve">La réponse en une page</w:t>
      </w:r>
    </w:p>
    <w:p>
      <w:pPr>
        <w:spacing w:after="120" w:line="300"/>
      </w:pPr>
      <w:r>
        <w:rPr>
          <w:rFonts w:ascii="Arial" w:cs="Arial" w:eastAsia="Arial" w:hAnsi="Arial"/>
          <w:sz w:val="22"/>
          <w:szCs w:val="22"/>
        </w:rPr>
        <w:t xml:space="preserve">Veolia annonce des enveloppes nettes. Clean Earth en est sorti ; le programme de cessions de plus de 2 Md€ d'ici mi-2028 l'y ramène. Si ce programme est encaissé à temps, il reste fin 2027 environ 1,6 Md€ de marge sous 3x, soit une acquisition d'environ 2,3 Md€ au multiple de Clean Earth. Cette marge dépend d'abord du calendrier des cessions, de la croissance organique de 2027 et des tuck-ins. Elle disparaît si tout tourne mal en même temps, ou si l'on compte la moitié des hybrides en dette. Le seuil des agences (FFO / dette ajustée ≥ 18 % chez S&amp;P) est la contrainte de 2026 : 19,3 % dans le scénario central, dans l'attente de Moody's ; fin 2027 il laisse 4,3 Md€ et c'est le 3x qui mord. Le booster déchets dangereux tient son objectif de volume révisé, pas l'initial, et sa croissance est surtout achetée. Le passif environnemental de Clean Earth n'est pas encore visible dans les comptes.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26"/>
      </w:tblGrid>
      <w:tr>
        <w:trPr>
          <w:tblHeader/>
        </w:trPr>
        <w:tc>
          <w:tcPr>
            <w:tcW w:type="dxa" w:w="32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Indicateur</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 qu'il faut en lire</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égal ou légèrement au-dessus de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 au plus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−0,53 · favorable 3,49</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18 % S&amp;P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4,33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 dette ajustée 19,3 % en 2026, 20,8 % en 2027</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2,26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 la contrainte qui mord : Veolia</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depuis 2024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enveloppe boosters annoncée : 4 Md€, nets</w:t>
            </w:r>
          </w:p>
        </w:tc>
      </w:tr>
    </w:tbl>
    <w:p>
      <w:pPr>
        <w:shd w:fill="FFF2A8" w:color="auto" w:val="clear"/>
        <w:spacing w:after="160" w:before="160"/>
      </w:pPr>
      <w:r>
        <w:rPr>
          <w:rFonts w:ascii="Arial" w:cs="Arial" w:eastAsia="Arial" w:hAnsi="Arial"/>
          <w:i/>
          <w:iCs/>
          <w:sz w:val="22"/>
          <w:szCs w:val="22"/>
        </w:rPr>
        <w:t xml:space="preserve">[À rédiger] 08_Livrables/texte/recommandation.md : ce que nous recommandons, ce que cela coûte et à qui, ce qui nous ferait changer d'avis.</w:t>
      </w:r>
    </w:p>
    <w:p>
      <w:r>
        <w:br w:type="page"/>
      </w:r>
    </w:p>
    <w:p>
      <w:pPr>
        <w:pStyle w:val="Heading1"/>
        <w:spacing w:after="120" w:before="240"/>
      </w:pPr>
      <w:r>
        <w:rPr>
          <w:rFonts w:ascii="Arial" w:cs="Arial" w:eastAsia="Arial" w:hAnsi="Arial"/>
        </w:rPr>
        <w:t xml:space="preserve">Les quatre questions de recherche de Veolia, et où le rapport y répond</w:t>
      </w:r>
    </w:p>
    <w:p>
      <w:pPr>
        <w:pStyle w:val="ListParagraph"/>
        <w:numPr>
          <w:ilvl w:val="0"/>
          <w:numId w:val="2"/>
        </w:numPr>
        <w:spacing w:after="80"/>
      </w:pPr>
      <w:r>
        <w:rPr>
          <w:rFonts w:ascii="Arial" w:cs="Arial" w:eastAsia="Arial" w:hAnsi="Arial"/>
          <w:sz w:val="22"/>
          <w:szCs w:val="22"/>
        </w:rPr>
        <w:t xml:space="preserve">Écart stratégique entre la trajectoire et 2027 (EBITDA, croissance, KPI ESG) ; segments et géographies qui sur- ou sous-performent → rôles 2 et 4.</w:t>
      </w:r>
    </w:p>
    <w:p>
      <w:pPr>
        <w:pStyle w:val="ListParagraph"/>
        <w:numPr>
          <w:ilvl w:val="0"/>
          <w:numId w:val="2"/>
        </w:numPr>
        <w:spacing w:after="80"/>
      </w:pPr>
      <w:r>
        <w:rPr>
          <w:rFonts w:ascii="Arial" w:cs="Arial" w:eastAsia="Arial" w:hAnsi="Arial"/>
          <w:sz w:val="22"/>
          <w:szCs w:val="22"/>
        </w:rPr>
        <w:t xml:space="preserve">Benchmark et opportunités : qui contribue le plus à l'ESG dans chaque booster ; multiples et synergies des deals récents → rôles 4 et 6.</w:t>
      </w:r>
    </w:p>
    <w:p>
      <w:pPr>
        <w:pStyle w:val="ListParagraph"/>
        <w:numPr>
          <w:ilvl w:val="0"/>
          <w:numId w:val="2"/>
        </w:numPr>
        <w:spacing w:after="80"/>
      </w:pPr>
      <w:r>
        <w:rPr>
          <w:rFonts w:ascii="Arial" w:cs="Arial" w:eastAsia="Arial" w:hAnsi="Arial"/>
          <w:sz w:val="22"/>
          <w:szCs w:val="22"/>
        </w:rPr>
        <w:t xml:space="preserve">Allocation du capital restant : capex organique ou croissance externe, boosters ou strongholds, critère d'impact ESG par euro → rôles 1, 3 et 6. « Tout le reste s'y alimente. »</w:t>
      </w:r>
    </w:p>
    <w:p>
      <w:pPr>
        <w:pStyle w:val="ListParagraph"/>
        <w:numPr>
          <w:ilvl w:val="0"/>
          <w:numId w:val="2"/>
        </w:numPr>
        <w:spacing w:after="80"/>
      </w:pPr>
      <w:r>
        <w:rPr>
          <w:rFonts w:ascii="Arial" w:cs="Arial" w:eastAsia="Arial" w:hAnsi="Arial"/>
          <w:sz w:val="22"/>
          <w:szCs w:val="22"/>
        </w:rPr>
        <w:t xml:space="preserve">Orientations : géographies, technologies, synergies (« 398 M€ en 2024 → objectif 530 M€ ») → rôle 6. Piège repéré : les 398 M€ de 2024 sont des gains d'efficacité ; les synergies Suez cumulées étaient de 435 M€ fin 2024, objectif relevé à 530 M€, réalisé 534 M€ fin 2025. À dire, pas à corriger en silence.</w:t>
      </w:r>
    </w:p>
    <w:p>
      <w:pPr>
        <w:pStyle w:val="Heading2"/>
        <w:spacing w:after="120" w:before="240"/>
      </w:pPr>
      <w:r>
        <w:rPr>
          <w:rFonts w:ascii="Arial" w:cs="Arial" w:eastAsia="Arial" w:hAnsi="Arial"/>
        </w:rPr>
        <w:t xml:space="preserve">Le chantier « capacité » en cinq blocs</w:t>
      </w:r>
    </w:p>
    <w:p>
      <w:pPr>
        <w:pStyle w:val="ListParagraph"/>
        <w:numPr>
          <w:ilvl w:val="0"/>
          <w:numId w:val="3"/>
        </w:numPr>
        <w:spacing w:after="80"/>
      </w:pPr>
      <w:r>
        <w:rPr>
          <w:rFonts w:ascii="Arial" w:cs="Arial" w:eastAsia="Arial" w:hAnsi="Arial"/>
          <w:sz w:val="22"/>
          <w:szCs w:val="22"/>
        </w:rPr>
        <w:t xml:space="preserve">Reconstituer ce qui a été dépensé, et dire si les 4 Md€ étaient bruts ou nets → rôle 1, Cessions §D.</w:t>
      </w:r>
    </w:p>
    <w:p>
      <w:pPr>
        <w:pStyle w:val="ListParagraph"/>
        <w:numPr>
          <w:ilvl w:val="0"/>
          <w:numId w:val="3"/>
        </w:numPr>
        <w:spacing w:after="80"/>
      </w:pPr>
      <w:r>
        <w:rPr>
          <w:rFonts w:ascii="Arial" w:cs="Arial" w:eastAsia="Arial" w:hAnsi="Arial"/>
          <w:sz w:val="22"/>
          <w:szCs w:val="22"/>
        </w:rPr>
        <w:t xml:space="preserve">La position de départ : dette, EBITDA, profil d'échéances, définition du levier propre à Veolia → rôle 2, Levier.</w:t>
      </w:r>
    </w:p>
    <w:p>
      <w:pPr>
        <w:pStyle w:val="ListParagraph"/>
        <w:numPr>
          <w:ilvl w:val="0"/>
          <w:numId w:val="3"/>
        </w:numPr>
        <w:spacing w:after="80"/>
      </w:pPr>
      <w:r>
        <w:rPr>
          <w:rFonts w:ascii="Arial" w:cs="Arial" w:eastAsia="Arial" w:hAnsi="Arial"/>
          <w:sz w:val="22"/>
          <w:szCs w:val="22"/>
        </w:rPr>
        <w:t xml:space="preserve">Traduire l'engagement en nombre, et lire les seuils de dégradation des agences, « la vraie limite » → rôle 2, Levier §B'.</w:t>
      </w:r>
    </w:p>
    <w:p>
      <w:pPr>
        <w:pStyle w:val="ListParagraph"/>
        <w:numPr>
          <w:ilvl w:val="0"/>
          <w:numId w:val="3"/>
        </w:numPr>
        <w:spacing w:after="80"/>
      </w:pPr>
      <w:r>
        <w:rPr>
          <w:rFonts w:ascii="Arial" w:cs="Arial" w:eastAsia="Arial" w:hAnsi="Arial"/>
          <w:sz w:val="22"/>
          <w:szCs w:val="22"/>
        </w:rPr>
        <w:t xml:space="preserve">Les trois sources de capacité : cash-flow libre, cessions, marge de levier → rôle 3, Trajectoire.</w:t>
      </w:r>
    </w:p>
    <w:p>
      <w:pPr>
        <w:pStyle w:val="ListParagraph"/>
        <w:numPr>
          <w:ilvl w:val="0"/>
          <w:numId w:val="3"/>
        </w:numPr>
        <w:spacing w:after="80"/>
      </w:pPr>
      <w:r>
        <w:rPr>
          <w:rFonts w:ascii="Arial" w:cs="Arial" w:eastAsia="Arial" w:hAnsi="Arial"/>
          <w:sz w:val="22"/>
          <w:szCs w:val="22"/>
        </w:rPr>
        <w:t xml:space="preserve">La sensibilité : prouver quel paramètre bouge le plus la réponse → rôle 3, Sensibilité.</w:t>
      </w:r>
    </w:p>
    <w:p>
      <w:r>
        <w:br w:type="page"/>
      </w:r>
    </w:p>
    <w:p>
      <w:pPr>
        <w:pStyle w:val="Heading1"/>
        <w:spacing w:after="120" w:before="240"/>
      </w:pPr>
      <w:r>
        <w:rPr>
          <w:rFonts w:ascii="Arial" w:cs="Arial" w:eastAsia="Arial" w:hAnsi="Arial"/>
        </w:rPr>
        <w:t xml:space="preserve">Rôle 1 — Périmètre et sources</w:t>
      </w:r>
    </w:p>
    <w:p>
      <w:pPr>
        <w:spacing w:after="120" w:line="300"/>
      </w:pPr>
      <w:r>
        <w:rPr>
          <w:rFonts w:ascii="Arial" w:cs="Arial" w:eastAsia="Arial" w:hAnsi="Arial"/>
          <w:i/>
          <w:iCs/>
          <w:color w:val="555555"/>
          <w:sz w:val="22"/>
          <w:szCs w:val="22"/>
        </w:rPr>
        <w:t xml:space="preserve">Le registre, et si l'enveloppe annoncée était brute ou nette des cessions.</w:t>
      </w:r>
    </w:p>
    <w:p>
      <w:pPr>
        <w:shd w:fill="FFF2A8" w:color="auto" w:val="clear"/>
        <w:spacing w:after="160" w:before="160"/>
      </w:pPr>
      <w:r>
        <w:rPr>
          <w:rFonts w:ascii="Arial" w:cs="Arial" w:eastAsia="Arial" w:hAnsi="Arial"/>
          <w:i/>
          <w:iCs/>
          <w:sz w:val="22"/>
          <w:szCs w:val="22"/>
        </w:rPr>
        <w:t xml:space="preserve">[Section signée par : ______ ] — dans le classeur : Entrées, Cessions §A et §B</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Nette. GreenUp annonce environ 0,5 Md€ par an de rotation nette d'actifs : 0,5 à 1,0 Md€ de tuck-ins, moins environ 0,5 Md€ de cessions. Clean Earth (2,78 Md€ de dette en plus) vaut 5,6 années de cette enveloppe ; c'est le programme de cessions de plus de 2 Md€ qui le ramène dedans. Les 4 Md€ d'investissements de croissance dans les boosters sont eux aussi annoncés nets (GreenUp p.44) : au 30 juin 2026, les sorties nettes d'acquisitions depuis 2024 atteignent 4,77 Md€, soit 0,77 Md€ de plus.</w:t>
      </w:r>
    </w:p>
    <w:p>
      <w:pPr>
        <w:pStyle w:val="Heading2"/>
        <w:spacing w:after="120" w:before="240"/>
      </w:pPr>
      <w:r>
        <w:rPr>
          <w:rFonts w:ascii="Arial" w:cs="Arial" w:eastAsia="Arial" w:hAnsi="Arial"/>
        </w:rPr>
        <w:t xml:space="preserve">Raisonnement (généré)</w:t>
      </w:r>
    </w:p>
    <w:p>
      <w:pPr>
        <w:pStyle w:val="ListParagraph"/>
        <w:numPr>
          <w:ilvl w:val="0"/>
          <w:numId w:val="4"/>
        </w:numPr>
        <w:spacing w:after="80"/>
      </w:pPr>
      <w:r>
        <w:rPr>
          <w:rFonts w:ascii="Arial" w:cs="Arial" w:eastAsia="Arial" w:hAnsi="Arial"/>
          <w:sz w:val="22"/>
          <w:szCs w:val="22"/>
        </w:rPr>
        <w:t xml:space="preserve">Lire la diapositive d'allocation du capital de GreenUp (p.63) : chaque colonne est exprimée en net.</w:t>
      </w:r>
    </w:p>
    <w:p>
      <w:pPr>
        <w:pStyle w:val="ListParagraph"/>
        <w:numPr>
          <w:ilvl w:val="0"/>
          <w:numId w:val="4"/>
        </w:numPr>
        <w:spacing w:after="80"/>
      </w:pPr>
      <w:r>
        <w:rPr>
          <w:rFonts w:ascii="Arial" w:cs="Arial" w:eastAsia="Arial" w:hAnsi="Arial"/>
          <w:sz w:val="22"/>
          <w:szCs w:val="22"/>
        </w:rPr>
        <w:t xml:space="preserve">Recalculer les deux enveloppes : 1,9 + 1,5 − 0,3 = 3,1 Md€ d'investissements nets ; 1,0 − 0,5 = 0,5 Md€ de rotation nette. L'annonce correspond au haut de la fourchette de tuck-ins.</w:t>
      </w:r>
    </w:p>
    <w:p>
      <w:pPr>
        <w:pStyle w:val="ListParagraph"/>
        <w:numPr>
          <w:ilvl w:val="0"/>
          <w:numId w:val="4"/>
        </w:numPr>
        <w:spacing w:after="80"/>
      </w:pPr>
      <w:r>
        <w:rPr>
          <w:rFonts w:ascii="Arial" w:cs="Arial" w:eastAsia="Arial" w:hAnsi="Arial"/>
          <w:sz w:val="22"/>
          <w:szCs w:val="22"/>
        </w:rPr>
        <w:t xml:space="preserve">Ne pas confondre avec les « plus de 8 Md€ de rotation d'actifs en 4 ans » de la présentation du S1 2026 : ce chiffre additionne achats et ventes, il est brut.</w:t>
      </w:r>
    </w:p>
    <w:p>
      <w:pPr>
        <w:pStyle w:val="ListParagraph"/>
        <w:numPr>
          <w:ilvl w:val="0"/>
          <w:numId w:val="4"/>
        </w:numPr>
        <w:spacing w:after="80"/>
      </w:pPr>
      <w:r>
        <w:rPr>
          <w:rFonts w:ascii="Arial" w:cs="Arial" w:eastAsia="Arial" w:hAnsi="Arial"/>
          <w:sz w:val="22"/>
          <w:szCs w:val="22"/>
        </w:rPr>
        <w:t xml:space="preserve">Placer Clean Earth : 5,6 années d'enveloppe nette en une opération. Net du programme de cessions, il en reste 0,78 Md€, soit 1,6 année.</w:t>
      </w:r>
    </w:p>
    <w:p>
      <w:pPr>
        <w:pStyle w:val="ListParagraph"/>
        <w:numPr>
          <w:ilvl w:val="0"/>
          <w:numId w:val="4"/>
        </w:numPr>
        <w:spacing w:after="80"/>
      </w:pPr>
      <w:r>
        <w:rPr>
          <w:rFonts w:ascii="Arial" w:cs="Arial" w:eastAsia="Arial" w:hAnsi="Arial"/>
          <w:sz w:val="22"/>
          <w:szCs w:val="22"/>
        </w:rPr>
        <w:t xml:space="preserve">Reconstituer ce qui est sorti : 0,40 Md€ rentrés en 2024 (cessions SADE, RGS, Lydec, Haikou), 2,30 Md€ sortis en 2025 (minoritaires WTS, déchets dangereux), 2,87 Md€ au S1 2026 (Clean Earth). Cumul net : 4,77 Md€, contre une enveloppe boosters de 4 Md€ sur quatre ans.</w:t>
      </w:r>
    </w:p>
    <w:p>
      <w:pPr>
        <w:pStyle w:val="ListParagraph"/>
        <w:numPr>
          <w:ilvl w:val="0"/>
          <w:numId w:val="4"/>
        </w:numPr>
        <w:spacing w:after="80"/>
      </w:pPr>
      <w:r>
        <w:rPr>
          <w:rFonts w:ascii="Arial" w:cs="Arial" w:eastAsia="Arial" w:hAnsi="Arial"/>
          <w:sz w:val="22"/>
          <w:szCs w:val="22"/>
        </w:rPr>
        <w:t xml:space="preserve">Le registre : chaque chiffre a son fichier, sa page, son URL et sa date de consultation, et un contrôle automatique vérifie que la valeur figure bien sur la page citée.</w:t>
      </w:r>
    </w:p>
    <w:p>
      <w:pPr>
        <w:shd w:fill="FFF2A8" w:color="auto" w:val="clear"/>
        <w:spacing w:after="160" w:before="160"/>
      </w:pPr>
      <w:r>
        <w:rPr>
          <w:rFonts w:ascii="Arial" w:cs="Arial" w:eastAsia="Arial" w:hAnsi="Arial"/>
          <w:i/>
          <w:iCs/>
          <w:sz w:val="22"/>
          <w:szCs w:val="22"/>
        </w:rPr>
        <w:t xml:space="preserve">[À rédiger] 08_Livrables/texte/role-1.md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strongholds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 (entrée)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−2 301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−2 869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cumulées 2024 →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somme des trois ponts, signe inversé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face aux 4 Md€ de l'enveloppe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enveloppe nette dépassée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déjà réalisée selon Veolia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totale prévue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dans les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hors d'Europe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d'actifs annoncée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bas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haut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d'actifs non stratégiques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implicite (haut −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recalcul : égale l'annonce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annoncés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maintenance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croissance sur contrats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moins cessions industrielles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la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−2 778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net du programme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0,78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1,6 année d'enveloppe nette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GreenUp ne dit pas si la fourchette de tuck-ins est annuelle ; la colonne l'est (« / year »). À formuler prudemment.</w:t>
      </w:r>
    </w:p>
    <w:p>
      <w:pPr>
        <w:pStyle w:val="ListParagraph"/>
        <w:numPr>
          <w:ilvl w:val="0"/>
          <w:numId w:val="5"/>
        </w:numPr>
        <w:spacing w:after="80"/>
      </w:pPr>
      <w:r>
        <w:rPr>
          <w:rFonts w:ascii="Arial" w:cs="Arial" w:eastAsia="Arial" w:hAnsi="Arial"/>
          <w:sz w:val="22"/>
          <w:szCs w:val="22"/>
        </w:rPr>
        <w:t xml:space="preserve">« Plus de 2 Md€ » est un plancher : un programme plus gros changerait la lecture.</w:t>
      </w:r>
    </w:p>
    <w:p>
      <w:pPr>
        <w:pStyle w:val="ListParagraph"/>
        <w:numPr>
          <w:ilvl w:val="0"/>
          <w:numId w:val="5"/>
        </w:numPr>
        <w:spacing w:after="80"/>
      </w:pPr>
      <w:r>
        <w:rPr>
          <w:rFonts w:ascii="Arial" w:cs="Arial" w:eastAsia="Arial" w:hAnsi="Arial"/>
          <w:sz w:val="22"/>
          <w:szCs w:val="22"/>
        </w:rPr>
        <w:t xml:space="preserve">Aucun chiffre ni aucun deal n'a encore été relu par un deuxième membre du groupe.</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dites-vous que l'enveloppe est nette ?</w:t>
      </w:r>
    </w:p>
    <w:p>
      <w:pPr>
        <w:spacing w:after="120" w:line="300"/>
      </w:pPr>
      <w:r>
        <w:rPr>
          <w:rFonts w:ascii="Arial" w:cs="Arial" w:eastAsia="Arial" w:hAnsi="Arial"/>
          <w:sz w:val="22"/>
          <w:szCs w:val="22"/>
        </w:rPr>
        <w:t xml:space="preserve">Parce que la diapositive la présente comme une rotation nette et que les composantes publiées se recalculent : 1,0 Md€ de tuck-ins moins 0,5 Md€ de cessions donnent les 0,5 Md€ annoncés. Veolia applique la même convention aux investissements industriels.</w:t>
      </w:r>
    </w:p>
    <w:p>
      <w:pPr>
        <w:spacing w:after="120" w:line="300"/>
      </w:pPr>
      <w:r>
        <w:rPr>
          <w:rFonts w:ascii="Arial" w:cs="Arial" w:eastAsia="Arial" w:hAnsi="Arial"/>
          <w:b/>
          <w:bCs/>
          <w:sz w:val="22"/>
          <w:szCs w:val="22"/>
        </w:rPr>
        <w:t xml:space="preserve">Les 4 Md€ annoncés étaient-ils bruts ou nets des cessions ?</w:t>
      </w:r>
    </w:p>
    <w:p>
      <w:pPr>
        <w:spacing w:after="120" w:line="300"/>
      </w:pPr>
      <w:r>
        <w:rPr>
          <w:rFonts w:ascii="Arial" w:cs="Arial" w:eastAsia="Arial" w:hAnsi="Arial"/>
          <w:sz w:val="22"/>
          <w:szCs w:val="22"/>
        </w:rPr>
        <w:t xml:space="preserve">Nets : la diapositive d'allocation du capital parle de « net growth investments » pour les boosters. Le brut, Veolia l'appelle « rotation d'actifs » : 4 Md€ déjà faits, 8,5 Md€ au total avec Clean Earth et le plan de cessions.</w:t>
      </w:r>
    </w:p>
    <w:p>
      <w:pPr>
        <w:spacing w:after="120" w:line="300"/>
      </w:pPr>
      <w:r>
        <w:rPr>
          <w:rFonts w:ascii="Arial" w:cs="Arial" w:eastAsia="Arial" w:hAnsi="Arial"/>
          <w:b/>
          <w:bCs/>
          <w:sz w:val="22"/>
          <w:szCs w:val="22"/>
        </w:rPr>
        <w:t xml:space="preserve">Les 8 Md€ de rotation ne contredisent-ils pas les 0,5 Md€ par an ?</w:t>
      </w:r>
    </w:p>
    <w:p>
      <w:pPr>
        <w:spacing w:after="120" w:line="300"/>
      </w:pPr>
      <w:r>
        <w:rPr>
          <w:rFonts w:ascii="Arial" w:cs="Arial" w:eastAsia="Arial" w:hAnsi="Arial"/>
          <w:sz w:val="22"/>
          <w:szCs w:val="22"/>
        </w:rPr>
        <w:t xml:space="preserve">Non : les 8 Md€ sont un montant brut (achats et ventes additionnés) sur quatre ans, les 0,5 Md€ un solde annuel.</w:t>
      </w:r>
    </w:p>
    <w:p>
      <w:pPr>
        <w:spacing w:after="120" w:line="300"/>
      </w:pPr>
      <w:r>
        <w:rPr>
          <w:rFonts w:ascii="Arial" w:cs="Arial" w:eastAsia="Arial" w:hAnsi="Arial"/>
          <w:b/>
          <w:bCs/>
          <w:sz w:val="22"/>
          <w:szCs w:val="22"/>
        </w:rPr>
        <w:t xml:space="preserve">Comment avez-vous constitué le registre ?</w:t>
      </w:r>
    </w:p>
    <w:p>
      <w:pPr>
        <w:spacing w:after="120" w:line="300"/>
      </w:pPr>
      <w:r>
        <w:rPr>
          <w:rFonts w:ascii="Arial" w:cs="Arial" w:eastAsia="Arial" w:hAnsi="Arial"/>
          <w:sz w:val="22"/>
          <w:szCs w:val="22"/>
        </w:rPr>
        <w:t xml:space="preserve">À partir des documents publiés par Veolia (DEU, amendements, communiqués, présentations), une ligne par chiffre avec fichier, page, URL et date. Les opérations viennent des notes « Principales évolutions de périmètre » des comptes consolidés.</w:t>
      </w:r>
    </w:p>
    <w:p>
      <w:r>
        <w:br w:type="page"/>
      </w:r>
    </w:p>
    <w:p>
      <w:pPr>
        <w:pStyle w:val="Heading1"/>
        <w:spacing w:after="120" w:before="240"/>
      </w:pPr>
      <w:r>
        <w:rPr>
          <w:rFonts w:ascii="Arial" w:cs="Arial" w:eastAsia="Arial" w:hAnsi="Arial"/>
        </w:rPr>
        <w:t xml:space="preserve">Rôle 2 — La contrainte</w:t>
      </w:r>
    </w:p>
    <w:p>
      <w:pPr>
        <w:spacing w:after="120" w:line="300"/>
      </w:pPr>
      <w:r>
        <w:rPr>
          <w:rFonts w:ascii="Arial" w:cs="Arial" w:eastAsia="Arial" w:hAnsi="Arial"/>
          <w:i/>
          <w:iCs/>
          <w:color w:val="555555"/>
          <w:sz w:val="22"/>
          <w:szCs w:val="22"/>
        </w:rPr>
        <w:t xml:space="preserve">La position de départ, la définition du levier propre à Veolia, et le calcul jusqu'au plafond.</w:t>
      </w:r>
    </w:p>
    <w:p>
      <w:pPr>
        <w:shd w:fill="FFF2A8" w:color="auto" w:val="clear"/>
        <w:spacing w:after="160" w:before="160"/>
      </w:pPr>
      <w:r>
        <w:rPr>
          <w:rFonts w:ascii="Arial" w:cs="Arial" w:eastAsia="Arial" w:hAnsi="Arial"/>
          <w:i/>
          <w:iCs/>
          <w:sz w:val="22"/>
          <w:szCs w:val="22"/>
        </w:rPr>
        <w:t xml:space="preserve">[Section signée par : ______ ] — dans le classeur : Levier, Pont de dette, Échéancier</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Veolia mesure son levier comme dette financière nette de clôture (IFRS 16 incluse) sur EBITDA (IFRS 16 inclus), hybrides exclus. La définition redonne les ratios publiés. Au 30 juin 2026, le ratio mécanique de 3,39x surestime : corrigé de Clean Earth en année pleine et de la saisonnalité, on est à 3,17x. Le modèle donne 3,02x fin 2026, dans la guidance, et 2,80x fin 2027, soit 1,57 Md€ de marge sous 3x. Mais la vraie limite est celle des agences : S&amp;P abaisse la note si FFO / dette ajustée ne reste pas au-dessus de 18 %, Moody's si le ratio passe sous « high teens ». Au pic de dette ajustée de 2026 (~29 Md€), tenir 18 % demande 5,2 Md€ de FFO, soit le FFO 2025 (5,2 Md€) : à FFO constant il n'y a pas de marge. Si le FFO suit l'EBITDA, le modèle donne 19,3 % fin 2026 (Moody's attend 18-19 %) et 20,8 % fin 2027 : le seuil des agences mord en 2026, le 3x de Veolia mord en 2027 (4,3 Md€ de marge sous 18 % contre 1,57 Md€ sous 3x). Dans le scénario défavorable, la marge d'agence 2026 tombe à 0,21 Md€. L'écart de 5 747 M€ entre la dette des agences et celle de Veolia se réconcilie poste par poste (Moody's, Exhibit 13) : hybrides comptés à 50 % (2 050,0), pensions (647,0), titrisation (1 014,0), retraitements (1 650,0), et une trésorerie retenue plus basse. Moody's publie aussi le FFO : 5 160 M€ en 2025, et prévoit 18,5 % de FFO / dette nette en 2026, 19,5 % en 2027.</w:t>
      </w:r>
    </w:p>
    <w:p>
      <w:pPr>
        <w:pStyle w:val="Heading2"/>
        <w:spacing w:after="120" w:before="240"/>
      </w:pPr>
      <w:r>
        <w:rPr>
          <w:rFonts w:ascii="Arial" w:cs="Arial" w:eastAsia="Arial" w:hAnsi="Arial"/>
        </w:rPr>
        <w:t xml:space="preserve">Raisonnement (généré)</w:t>
      </w:r>
    </w:p>
    <w:p>
      <w:pPr>
        <w:pStyle w:val="ListParagraph"/>
        <w:numPr>
          <w:ilvl w:val="0"/>
          <w:numId w:val="6"/>
        </w:numPr>
        <w:spacing w:after="80"/>
      </w:pPr>
      <w:r>
        <w:rPr>
          <w:rFonts w:ascii="Arial" w:cs="Arial" w:eastAsia="Arial" w:hAnsi="Arial"/>
          <w:sz w:val="22"/>
          <w:szCs w:val="22"/>
        </w:rPr>
        <w:t xml:space="preserve">Prendre la définition dans le DEU 2025 (p.355) et la tester : elle redonne 2,63x pour 2024 et 2,79x pour 2025.</w:t>
      </w:r>
    </w:p>
    <w:p>
      <w:pPr>
        <w:pStyle w:val="ListParagraph"/>
        <w:numPr>
          <w:ilvl w:val="0"/>
          <w:numId w:val="6"/>
        </w:numPr>
        <w:spacing w:after="80"/>
      </w:pPr>
      <w:r>
        <w:rPr>
          <w:rFonts w:ascii="Arial" w:cs="Arial" w:eastAsia="Arial" w:hAnsi="Arial"/>
          <w:sz w:val="22"/>
          <w:szCs w:val="22"/>
        </w:rPr>
        <w:t xml:space="preserve">Les 4,1 Md€ d'hybrides sont des capitaux propres en IFRS (IAS 32.11). L'hybride vert de 2025 a réduit la dette nette de 497 M€ : c'est un levier sur le ratio, pas sur l'économie.</w:t>
      </w:r>
    </w:p>
    <w:p>
      <w:pPr>
        <w:pStyle w:val="ListParagraph"/>
        <w:numPr>
          <w:ilvl w:val="0"/>
          <w:numId w:val="6"/>
        </w:numPr>
        <w:spacing w:after="80"/>
      </w:pPr>
      <w:r>
        <w:rPr>
          <w:rFonts w:ascii="Arial" w:cs="Arial" w:eastAsia="Arial" w:hAnsi="Arial"/>
          <w:sz w:val="22"/>
          <w:szCs w:val="22"/>
        </w:rPr>
        <w:t xml:space="preserve">Au 30 juin 2026, trois lectures : 3,39x mécanique, 3,32x avec douze mois de Clean Earth, 3,17x en retirant la saisonnalité (la dette baisse de 1 107 M€ au second semestre). Seule la troisième se compare à un ratio de décembre.</w:t>
      </w:r>
    </w:p>
    <w:p>
      <w:pPr>
        <w:pStyle w:val="ListParagraph"/>
        <w:numPr>
          <w:ilvl w:val="0"/>
          <w:numId w:val="6"/>
        </w:numPr>
        <w:spacing w:after="80"/>
      </w:pPr>
      <w:r>
        <w:rPr>
          <w:rFonts w:ascii="Arial" w:cs="Arial" w:eastAsia="Arial" w:hAnsi="Arial"/>
          <w:sz w:val="22"/>
          <w:szCs w:val="22"/>
        </w:rPr>
        <w:t xml:space="preserve">Le plafond en euros : si l'objectif de 8 Md€ est atteint, la dette ne peut pas dépasser 24 Md€ fin 2027 ; la dette de juin 2026 (24 548 M€) est déjà au-dessus. Chaque 0,5 Md€ d'EBITDA en plus libère 1,5 Md€ : la capacité dépend plus de l'EBITDA que de n'importe quelle décision d'allocation.</w:t>
      </w:r>
    </w:p>
    <w:p>
      <w:pPr>
        <w:pStyle w:val="ListParagraph"/>
        <w:numPr>
          <w:ilvl w:val="0"/>
          <w:numId w:val="6"/>
        </w:numPr>
        <w:spacing w:after="80"/>
      </w:pPr>
      <w:r>
        <w:rPr>
          <w:rFonts w:ascii="Arial" w:cs="Arial" w:eastAsia="Arial" w:hAnsi="Arial"/>
          <w:sz w:val="22"/>
          <w:szCs w:val="22"/>
        </w:rPr>
        <w:t xml:space="preserve">Fin 2026, le modèle donne 3,02x (dette 22 669 M€, EBITDA 7 512 M€). Il retombe dans la guidance sans réglage : c'est le test de calibrage.</w:t>
      </w:r>
    </w:p>
    <w:p>
      <w:pPr>
        <w:pStyle w:val="ListParagraph"/>
        <w:numPr>
          <w:ilvl w:val="0"/>
          <w:numId w:val="6"/>
        </w:numPr>
        <w:spacing w:after="80"/>
      </w:pPr>
      <w:r>
        <w:rPr>
          <w:rFonts w:ascii="Arial" w:cs="Arial" w:eastAsia="Arial" w:hAnsi="Arial"/>
          <w:sz w:val="22"/>
          <w:szCs w:val="22"/>
        </w:rPr>
        <w:t xml:space="preserve">Fin 2027 : 2,80x, marge de 1 571 M€ sous 3x. Avec la moitié des hybrides en dette, le ratio passe à 3,06x et la marge disparaît ; avec tous les hybrides, 3,32x.</w:t>
      </w:r>
    </w:p>
    <w:p>
      <w:pPr>
        <w:pStyle w:val="ListParagraph"/>
        <w:numPr>
          <w:ilvl w:val="0"/>
          <w:numId w:val="6"/>
        </w:numPr>
        <w:spacing w:after="80"/>
      </w:pPr>
      <w:r>
        <w:rPr>
          <w:rFonts w:ascii="Arial" w:cs="Arial" w:eastAsia="Arial" w:hAnsi="Arial"/>
          <w:sz w:val="22"/>
          <w:szCs w:val="22"/>
        </w:rPr>
        <w:t xml:space="preserve">Les agences, publiées par Veolia elle-même sur sa page « Debt and ratings » : Moody's (Baa1 stable, mai 2026) mesure FFO / dette nette ajustée à 20,3 % en 2025 et attend 18-19 % en 2026 avec un pic de dette ajustée vers 29 Md€ ; dégradation si le ratio passe sous « high teens ». S&amp;P (BBB stable, avril 2026) : dégradation si FFO / dette ne reste pas durablement au-dessus de 18 %. La dette ajustée des agences dépasse de 5,7 Md€ la dette nette publiée : hybrides comptés en partie, pensions, provisions.</w:t>
      </w:r>
    </w:p>
    <w:p>
      <w:pPr>
        <w:pStyle w:val="ListParagraph"/>
        <w:numPr>
          <w:ilvl w:val="0"/>
          <w:numId w:val="6"/>
        </w:numPr>
        <w:spacing w:after="80"/>
      </w:pPr>
      <w:r>
        <w:rPr>
          <w:rFonts w:ascii="Arial" w:cs="Arial" w:eastAsia="Arial" w:hAnsi="Arial"/>
          <w:sz w:val="22"/>
          <w:szCs w:val="22"/>
        </w:rPr>
        <w:t xml:space="preserve">La réconciliation, poste par poste (Moody's Exhibit 13) : dette brute publiée 29 518,0 M€ (c'est le sous-total des emprunts du DEU, 29 518), plus pensions 647,0, hybrides à 50 % 2 050,0, titrisation 1 014,0, retraitements 1 650,0 = 34 879,0 ; moins une trésorerie retenue de 9 475,0 = 25 404,0. Les hybrides pèsent 36 % de l'écart. Moody's mesure 3,7x de dette nette / EBITDA ajustés là où Veolia publie 2,79x : même entreprise, deux définitions.</w:t>
      </w:r>
    </w:p>
    <w:p>
      <w:pPr>
        <w:pStyle w:val="ListParagraph"/>
        <w:numPr>
          <w:ilvl w:val="0"/>
          <w:numId w:val="6"/>
        </w:numPr>
        <w:spacing w:after="80"/>
      </w:pPr>
      <w:r>
        <w:rPr>
          <w:rFonts w:ascii="Arial" w:cs="Arial" w:eastAsia="Arial" w:hAnsi="Arial"/>
          <w:sz w:val="22"/>
          <w:szCs w:val="22"/>
        </w:rPr>
        <w:t xml:space="preserve">Le mur de refinancement n'en est pas un : les flux contractuels de dette 2026 (9 642 M€, dont 4 933 de billets de trésorerie renouvelés en continu) sont couverts 1,65x par 15 911 M€ de liquidités, dont une ligne syndiquée de 4 500 M€ non tirée jusqu'en 2030 ; 2027 pèse 3 891 M€ (DEU p.421). Aucun covenant financier sur la dette de Veolia Environnement (p.422). Ce que le mur change, c'est le FFO : les souches de 2027-2028 portent des coupons de 0 à 1,6 % et se refinanceront vers 3,3 % (émission de juin 2025), soit ~74 M€ d'intérêts de plus par an (1,4 % du FFO).</w:t>
      </w:r>
    </w:p>
    <w:p>
      <w:pPr>
        <w:pStyle w:val="ListParagraph"/>
        <w:numPr>
          <w:ilvl w:val="0"/>
          <w:numId w:val="6"/>
        </w:numPr>
        <w:spacing w:after="80"/>
      </w:pPr>
      <w:r>
        <w:rPr>
          <w:rFonts w:ascii="Arial" w:cs="Arial" w:eastAsia="Arial" w:hAnsi="Arial"/>
          <w:sz w:val="22"/>
          <w:szCs w:val="22"/>
        </w:rPr>
        <w:t xml:space="preserve">Le FFO des agences se reconstitue depuis le tableau de flux : capacité d'autofinancement avant BFR 6 144 M€, moins impôts et intérêts payés, plus remboursements d'actifs financiers opérationnels et dividendes reçus = 5 157 M€, contre 5 160 publiés par Moody's (écart −0,1 %). Le classeur le contrôle à ± 5 % sur 2024 et 2025.</w:t>
      </w:r>
    </w:p>
    <w:p>
      <w:pPr>
        <w:shd w:fill="FFF2A8" w:color="auto" w:val="clear"/>
        <w:spacing w:after="160" w:before="160"/>
      </w:pPr>
      <w:r>
        <w:rPr>
          <w:rFonts w:ascii="Arial" w:cs="Arial" w:eastAsia="Arial" w:hAnsi="Arial"/>
          <w:i/>
          <w:iCs/>
          <w:sz w:val="22"/>
          <w:szCs w:val="22"/>
        </w:rPr>
        <w:t xml:space="preserve">[À rédiger] 08_Livrables/texte/role-2.md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6 788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19 657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7 050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recalculé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DFN / EBITDA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30/06/2026, Clean Earth inclus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20 764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glissant 12 mois au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7 235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2025 − S1 2025 + S1 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① Levier mécanique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toute la dette, un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② Pro forma Clean Earth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+ 11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③ Corrigé de la saisonnalité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la baisse de dette du S2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 hors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si l'objectif ≥ 8 Md€ est atteint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24 000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8 000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à l'EBITDA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23 944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EBITDA 2027 central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libérée par 0,5 Md€ d'EBITDA en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à taux fixe après couverture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(capitaux propres)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vert 2025 : baisse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dégradation si FFO / dette nette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high teens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relèvement si dans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low-to-mid 20s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dégradation si FFO / dette durablement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implicite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5 156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20,3 % × 25 400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requis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5 220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18 % × ~29 000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FFO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 requis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Écart dette ajustée Moody's − dette nette publiée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5 743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retraitements d'agence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pensions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hybrides à 50 %</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titrisation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1 014,0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ajustements non standard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brute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34 879,0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trésorerie retenue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9 475,0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25 404,0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hybrides dans l'écart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(ajustée −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1 341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 EBITDA ajustés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ACEA,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Hera,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notation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Baa2 Negative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fin 2026 : égal ou légèrement au-dessus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2027 :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 forma 12 mois : 2,99x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1 571 M EUR</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si 50 % des hybrides comptent en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3,06x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lecture d'analyste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2026, principal et intérêts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9 642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totales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15 911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syndiquée non tirée, jusqu'en 2030</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 flux de dette 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4,14x hors billets de trésorerie et hybride notifié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Surcoût d'intérêts annuel, souches 2027-2028 refinancées au taux de juin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 du FFO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d'autofinancement avant BFR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6 144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payés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reconstitué depuis le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5 160 ; écart −0,1 %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Veolia ne dit pas si son ratio de fin 2026 comptera douze mois de Clean Earth (2,99x) ou sept (3,02x).</w:t>
      </w:r>
    </w:p>
    <w:p>
      <w:pPr>
        <w:pStyle w:val="ListParagraph"/>
        <w:numPr>
          <w:ilvl w:val="0"/>
          <w:numId w:val="5"/>
        </w:numPr>
        <w:spacing w:after="80"/>
      </w:pPr>
      <w:r>
        <w:rPr>
          <w:rFonts w:ascii="Arial" w:cs="Arial" w:eastAsia="Arial" w:hAnsi="Arial"/>
          <w:sz w:val="22"/>
          <w:szCs w:val="22"/>
        </w:rPr>
        <w:t xml:space="preserve">Les coupons des deux souches euro de 2026 (750 et 650 M€) ne figurent pas au tableau p.407 (lignes courantes) : le surcoût de refinancement de 2026 n'est pas chiffré.</w:t>
      </w:r>
    </w:p>
    <w:p>
      <w:pPr>
        <w:pStyle w:val="ListParagraph"/>
        <w:numPr>
          <w:ilvl w:val="0"/>
          <w:numId w:val="5"/>
        </w:numPr>
        <w:spacing w:after="80"/>
      </w:pPr>
      <w:r>
        <w:rPr>
          <w:rFonts w:ascii="Arial" w:cs="Arial" w:eastAsia="Arial" w:hAnsi="Arial"/>
          <w:sz w:val="22"/>
          <w:szCs w:val="22"/>
        </w:rPr>
        <w:t xml:space="preserve">Le change sur la dette en dollars n'est pas modélisé.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citer 3,39x au 30 juin ?</w:t>
      </w:r>
    </w:p>
    <w:p>
      <w:pPr>
        <w:spacing w:after="120" w:line="300"/>
      </w:pPr>
      <w:r>
        <w:rPr>
          <w:rFonts w:ascii="Arial" w:cs="Arial" w:eastAsia="Arial" w:hAnsi="Arial"/>
          <w:sz w:val="22"/>
          <w:szCs w:val="22"/>
        </w:rPr>
        <w:t xml:space="preserve">Parce qu'il rapporte toute la dette de Clean Earth à un seul mois de son EBITDA, et une dette de juin, toujours plus haute, à un plafond qui se mesure en décembre. Corrigé des deux, on est à 3,17x.</w:t>
      </w:r>
    </w:p>
    <w:p>
      <w:pPr>
        <w:spacing w:after="120" w:line="300"/>
      </w:pPr>
      <w:r>
        <w:rPr>
          <w:rFonts w:ascii="Arial" w:cs="Arial" w:eastAsia="Arial" w:hAnsi="Arial"/>
          <w:b/>
          <w:bCs/>
          <w:sz w:val="22"/>
          <w:szCs w:val="22"/>
        </w:rPr>
        <w:t xml:space="preserve">Quel est le vrai plafond : 3x ou les agences ?</w:t>
      </w:r>
    </w:p>
    <w:p>
      <w:pPr>
        <w:spacing w:after="120" w:line="300"/>
      </w:pPr>
      <w:r>
        <w:rPr>
          <w:rFonts w:ascii="Arial" w:cs="Arial" w:eastAsia="Arial" w:hAnsi="Arial"/>
          <w:sz w:val="22"/>
          <w:szCs w:val="22"/>
        </w:rPr>
        <w:t xml:space="preserve">Les deux, à des dates différentes. Veolia s'engage à garder BBB / Baa1, et S&amp;P abaisse la note sous 18 % de FFO / dette. Au pic de dette de 2026, ce seuil demande 5,2 Md€ de FFO pour 5,2 Md€ générés en 2025 : c'est 2026 qui est tendu, et c'est pour cela que les cessions sont annoncées dans les deux ans. Fin 2027, avec un FFO qui suit l'EBITDA, le ratio remonte à 20,8 % et c'est le 3x de Veolia qui limite la capacité (Veolia dans le modèle).</w:t>
      </w:r>
    </w:p>
    <w:p>
      <w:pPr>
        <w:spacing w:after="120" w:line="300"/>
      </w:pPr>
      <w:r>
        <w:rPr>
          <w:rFonts w:ascii="Arial" w:cs="Arial" w:eastAsia="Arial" w:hAnsi="Arial"/>
          <w:b/>
          <w:bCs/>
          <w:sz w:val="22"/>
          <w:szCs w:val="22"/>
        </w:rPr>
        <w:t xml:space="preserve">D'où vient l'écart de 5,7 Md€ entre la dette des agences et la dette publiée ?</w:t>
      </w:r>
    </w:p>
    <w:p>
      <w:pPr>
        <w:spacing w:after="120" w:line="300"/>
      </w:pPr>
      <w:r>
        <w:rPr>
          <w:rFonts w:ascii="Arial" w:cs="Arial" w:eastAsia="Arial" w:hAnsi="Arial"/>
          <w:sz w:val="22"/>
          <w:szCs w:val="22"/>
        </w:rPr>
        <w:t xml:space="preserve">De la réconciliation que Moody's publie : la dette brute est la même (29 518,0 M€), Moody's y ajoute pensions, titrisation, retraitements et la moitié des hybrides (2 050,0 M€), puis retient moins de trésorerie (9 475,0 contre 8 021 + 1 952 chez Veolia). Chaque poste est au registre avec sa page.</w:t>
      </w:r>
    </w:p>
    <w:p>
      <w:pPr>
        <w:spacing w:after="120" w:line="300"/>
      </w:pPr>
      <w:r>
        <w:rPr>
          <w:rFonts w:ascii="Arial" w:cs="Arial" w:eastAsia="Arial" w:hAnsi="Arial"/>
          <w:b/>
          <w:bCs/>
          <w:sz w:val="22"/>
          <w:szCs w:val="22"/>
        </w:rPr>
        <w:t xml:space="preserve">Les hybrides sont-ils de la dette ?</w:t>
      </w:r>
    </w:p>
    <w:p>
      <w:pPr>
        <w:spacing w:after="120" w:line="300"/>
      </w:pPr>
      <w:r>
        <w:rPr>
          <w:rFonts w:ascii="Arial" w:cs="Arial" w:eastAsia="Arial" w:hAnsi="Arial"/>
          <w:sz w:val="22"/>
          <w:szCs w:val="22"/>
        </w:rPr>
        <w:t xml:space="preserve">Pas pour Veolia ni en IFRS. Mais ils portent un coupon et une date de rappel : un lecteur prudent en compte une partie, et le plafond de 2027 n'est alors plus tenu (3,06x à 50 %).</w:t>
      </w:r>
    </w:p>
    <w:p>
      <w:pPr>
        <w:spacing w:after="120" w:line="300"/>
      </w:pPr>
      <w:r>
        <w:rPr>
          <w:rFonts w:ascii="Arial" w:cs="Arial" w:eastAsia="Arial" w:hAnsi="Arial"/>
          <w:b/>
          <w:bCs/>
          <w:sz w:val="22"/>
          <w:szCs w:val="22"/>
        </w:rPr>
        <w:t xml:space="preserve">Y a-t-il un mur de refinancement avant 2027 ?</w:t>
      </w:r>
    </w:p>
    <w:p>
      <w:pPr>
        <w:spacing w:after="120" w:line="300"/>
      </w:pPr>
      <w:r>
        <w:rPr>
          <w:rFonts w:ascii="Arial" w:cs="Arial" w:eastAsia="Arial" w:hAnsi="Arial"/>
          <w:sz w:val="22"/>
          <w:szCs w:val="22"/>
        </w:rPr>
        <w:t xml:space="preserve">Non. 9 642 M€ de flux contractuels en 2026, dont 4 933 de billets de trésorerie qui se renouvellent, face à 15 911 M€ de liquidités : couvert 1,65x. Le mur agit sur le FFO, pas sur la dette : environ 74 M€ d'intérêts de plus par an quand les souches à bas coupon de 2027-2028 se refinancent au taux de 2025.</w:t>
      </w:r>
    </w:p>
    <w:p>
      <w:pPr>
        <w:spacing w:after="120" w:line="300"/>
      </w:pPr>
      <w:r>
        <w:rPr>
          <w:rFonts w:ascii="Arial" w:cs="Arial" w:eastAsia="Arial" w:hAnsi="Arial"/>
          <w:b/>
          <w:bCs/>
          <w:sz w:val="22"/>
          <w:szCs w:val="22"/>
        </w:rPr>
        <w:t xml:space="preserve">Les hybrides ont-ils une date ?</w:t>
      </w:r>
    </w:p>
    <w:p>
      <w:pPr>
        <w:spacing w:after="120" w:line="300"/>
      </w:pPr>
      <w:r>
        <w:rPr>
          <w:rFonts w:ascii="Arial" w:cs="Arial" w:eastAsia="Arial" w:hAnsi="Arial"/>
          <w:sz w:val="22"/>
          <w:szCs w:val="22"/>
        </w:rPr>
        <w:t xml:space="preserve">Oui, six (DEU p.429) : 4,1 Md€ en tout, coupon moyen 3,45 %. Une seule tombe avant fin 2027 : 500 M€ à 1,625 % en septembre 2026. La remplacer au coupon de la dernière émission (4,322 %) coûte 13 M€ de coupon par an ; ne pas la remplacer porte le levier fin 2027 à 2,87x. Le vrai sujet n'est pas le levier mais le prix du capital hybride, qui a presque triplé entre 2019 et 2025.</w:t>
      </w:r>
    </w:p>
    <w:p>
      <w:pPr>
        <w:spacing w:after="120" w:line="300"/>
      </w:pPr>
      <w:r>
        <w:rPr>
          <w:rFonts w:ascii="Arial" w:cs="Arial" w:eastAsia="Arial" w:hAnsi="Arial"/>
          <w:b/>
          <w:bCs/>
          <w:sz w:val="22"/>
          <w:szCs w:val="22"/>
        </w:rPr>
        <w:t xml:space="preserve">Où se place Veolia parmi ses pairs ?</w:t>
      </w:r>
    </w:p>
    <w:p>
      <w:pPr>
        <w:spacing w:after="120" w:line="300"/>
      </w:pPr>
      <w:r>
        <w:rPr>
          <w:rFonts w:ascii="Arial" w:cs="Arial" w:eastAsia="Arial" w:hAnsi="Arial"/>
          <w:sz w:val="22"/>
          <w:szCs w:val="22"/>
        </w:rPr>
        <w:t xml:space="preserve">Dans le tableau de Moody's (Exhibit 12, douze mois à juin 2025) : 20,3 % de FFO / dette nette pour Veolia, 20,3 % pour ACEA, 23,3 % pour Hera, tous trois Baa1 ; Suez, « Baa2 Negative », est à 11,4 %. L'écart avec Suez est de 8,9 % ; avec Hera, −3,0 %. Le seuil des « high teens » n'est pas une abstraction : c'est la zone où se trouve déjà le concurrent direct.</w:t>
      </w:r>
    </w:p>
    <w:p>
      <w:pPr>
        <w:spacing w:after="120" w:line="300"/>
      </w:pPr>
      <w:r>
        <w:rPr>
          <w:rFonts w:ascii="Arial" w:cs="Arial" w:eastAsia="Arial" w:hAnsi="Arial"/>
          <w:b/>
          <w:bCs/>
          <w:sz w:val="22"/>
          <w:szCs w:val="22"/>
        </w:rPr>
        <w:t xml:space="preserve">Comment reconstituez-vous le FFO de Moody's, qui ne publie pas sa formule ?</w:t>
      </w:r>
    </w:p>
    <w:p>
      <w:pPr>
        <w:spacing w:after="120" w:line="300"/>
      </w:pPr>
      <w:r>
        <w:rPr>
          <w:rFonts w:ascii="Arial" w:cs="Arial" w:eastAsia="Arial" w:hAnsi="Arial"/>
          <w:sz w:val="22"/>
          <w:szCs w:val="22"/>
        </w:rPr>
        <w:t xml:space="preserve">Depuis le tableau de flux du DEU (p.362-363) : capacité d'autofinancement avant BFR, moins impôts et intérêts payés, plus remboursements d'actifs financiers opérationnels et dividendes reçus : 5 157 M€ contre 5 160 publiés, écart −0,1 %. Même lecture en 2024 à moins de 2 % près : c'est un contrôle bloquant du classeur.</w:t>
      </w:r>
    </w:p>
    <w:p>
      <w:pPr>
        <w:spacing w:after="120" w:line="300"/>
      </w:pPr>
      <w:r>
        <w:rPr>
          <w:rFonts w:ascii="Arial" w:cs="Arial" w:eastAsia="Arial" w:hAnsi="Arial"/>
          <w:b/>
          <w:bCs/>
          <w:sz w:val="22"/>
          <w:szCs w:val="22"/>
        </w:rPr>
        <w:t xml:space="preserve">Pourquoi votre fin 2026 est-il crédible ?</w:t>
      </w:r>
    </w:p>
    <w:p>
      <w:pPr>
        <w:spacing w:after="120" w:line="300"/>
      </w:pPr>
      <w:r>
        <w:rPr>
          <w:rFonts w:ascii="Arial" w:cs="Arial" w:eastAsia="Arial" w:hAnsi="Arial"/>
          <w:sz w:val="22"/>
          <w:szCs w:val="22"/>
        </w:rPr>
        <w:t xml:space="preserve">Il n'utilise que la guidance de croissance (+5 à +6 %), le second semestre 2025 reproduit et la moitié des cessions signées : il tombe à 3,02x, ce que Veolia annonce.</w:t>
      </w:r>
    </w:p>
    <w:p>
      <w:r>
        <w:br w:type="page"/>
      </w:r>
    </w:p>
    <w:p>
      <w:pPr>
        <w:pStyle w:val="Heading1"/>
        <w:spacing w:after="120" w:before="240"/>
      </w:pPr>
      <w:r>
        <w:rPr>
          <w:rFonts w:ascii="Arial" w:cs="Arial" w:eastAsia="Arial" w:hAnsi="Arial"/>
        </w:rPr>
        <w:t xml:space="preserve">Rôle 3 — Capacité et sensibilité</w:t>
      </w:r>
    </w:p>
    <w:p>
      <w:pPr>
        <w:spacing w:after="120" w:line="300"/>
      </w:pPr>
      <w:r>
        <w:rPr>
          <w:rFonts w:ascii="Arial" w:cs="Arial" w:eastAsia="Arial" w:hAnsi="Arial"/>
          <w:i/>
          <w:iCs/>
          <w:color w:val="555555"/>
          <w:sz w:val="22"/>
          <w:szCs w:val="22"/>
        </w:rPr>
        <w:t xml:space="preserve">Le cash-flow libre, le programme de cessions et son calendrier, et ce qui fait le plus bouger la réponse.</w:t>
      </w:r>
    </w:p>
    <w:p>
      <w:pPr>
        <w:shd w:fill="FFF2A8" w:color="auto" w:val="clear"/>
        <w:spacing w:after="160" w:before="160"/>
      </w:pPr>
      <w:r>
        <w:rPr>
          <w:rFonts w:ascii="Arial" w:cs="Arial" w:eastAsia="Arial" w:hAnsi="Arial"/>
          <w:i/>
          <w:iCs/>
          <w:sz w:val="22"/>
          <w:szCs w:val="22"/>
        </w:rPr>
        <w:t xml:space="preserve">[Section signée par : ______ ] — dans le classeur : Trajectoire, Sensibilité, Cessions §C, Pont de dette, Pont EBITDA</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Le cash-flow libre net (1 178 M€ en 2025) paie à peine les dividendes : la marge vient de la croissance de l'EBITDA et des cessions. Ce qui bouge le plus la marge de fin 2027 : Part du reste du programme encaissée en 2027 (0,96 Md€); Croissance organique de l'EBITDA en 2027 (0,72 Md€); Tuck-ins payés en 2027 (0,68 Md€). Si tout tourne mal en même temps, la marge devient négative (−535 M€). Mais « tout en même temps » n'arrive presque jamais : sur 1 000 futurs tirés entre les bornes de chaque hypothèse, avec un facteur conjoncture commun (corrélation 0,4), 100 % tiennent les deux plafonds fin 2027 ; la marge contraignante médiane est de 1 460 M€, et 95 % des futurs dépassent 730 M€. Le risque n'est pas de franchir le plafond par la conjoncture : c'est de le franchir par une décision (une acquisition trop grande).</w:t>
      </w:r>
    </w:p>
    <w:p>
      <w:pPr>
        <w:pStyle w:val="Heading2"/>
        <w:spacing w:after="120" w:before="240"/>
      </w:pPr>
      <w:r>
        <w:rPr>
          <w:rFonts w:ascii="Arial" w:cs="Arial" w:eastAsia="Arial" w:hAnsi="Arial"/>
        </w:rPr>
        <w:t xml:space="preserve">Raisonnement (généré)</w:t>
      </w:r>
    </w:p>
    <w:p>
      <w:pPr>
        <w:pStyle w:val="ListParagraph"/>
        <w:numPr>
          <w:ilvl w:val="0"/>
          <w:numId w:val="7"/>
        </w:numPr>
        <w:spacing w:after="80"/>
      </w:pPr>
      <w:r>
        <w:rPr>
          <w:rFonts w:ascii="Arial" w:cs="Arial" w:eastAsia="Arial" w:hAnsi="Arial"/>
          <w:sz w:val="22"/>
          <w:szCs w:val="22"/>
        </w:rPr>
        <w:t xml:space="preserve">La saisonnalité d'abord : le premier semestre consomme du cash (BFR −1 238 M€), le second en rend (1 629 M€ en 2025). Toute analyse en juin doit en tenir compte.</w:t>
      </w:r>
    </w:p>
    <w:p>
      <w:pPr>
        <w:pStyle w:val="ListParagraph"/>
        <w:numPr>
          <w:ilvl w:val="0"/>
          <w:numId w:val="7"/>
        </w:numPr>
        <w:spacing w:after="80"/>
      </w:pPr>
      <w:r>
        <w:rPr>
          <w:rFonts w:ascii="Arial" w:cs="Arial" w:eastAsia="Arial" w:hAnsi="Arial"/>
          <w:sz w:val="22"/>
          <w:szCs w:val="22"/>
        </w:rPr>
        <w:t xml:space="preserve">Le calendrier : 0,1 Md€ encaissés, environ 0,5 Md€ de signatures attendues en 2026, le solde d'ici mi-2028. Signer n'est pas encaisser : le scénario central encaisse la moitié des signatures en 2026 et la moitié du reste en 2027.</w:t>
      </w:r>
    </w:p>
    <w:p>
      <w:pPr>
        <w:pStyle w:val="ListParagraph"/>
        <w:numPr>
          <w:ilvl w:val="0"/>
          <w:numId w:val="7"/>
        </w:numPr>
        <w:spacing w:after="80"/>
      </w:pPr>
      <w:r>
        <w:rPr>
          <w:rFonts w:ascii="Arial" w:cs="Arial" w:eastAsia="Arial" w:hAnsi="Arial"/>
          <w:sz w:val="22"/>
          <w:szCs w:val="22"/>
        </w:rPr>
        <w:t xml:space="preserve">Ce que vaut chaque levier sur la marge 2027 : EBITDA 2027 317, Cash-flow libre 100, Cessions (au multiple central) 70, Tuck-ins (au multiple des tuck-ins) −69, Dividendes −100, Dette requalifiée (hybrides, provisions) −100 (M€ pour +100 M€).</w:t>
      </w:r>
    </w:p>
    <w:p>
      <w:pPr>
        <w:pStyle w:val="ListParagraph"/>
        <w:numPr>
          <w:ilvl w:val="0"/>
          <w:numId w:val="7"/>
        </w:numPr>
        <w:spacing w:after="80"/>
      </w:pPr>
      <w:r>
        <w:rPr>
          <w:rFonts w:ascii="Arial" w:cs="Arial" w:eastAsia="Arial" w:hAnsi="Arial"/>
          <w:sz w:val="22"/>
          <w:szCs w:val="22"/>
        </w:rPr>
        <w:t xml:space="preserve">Le classement : 1. Part du reste du programme encaissée en 2027 (956 M€); 2. Croissance organique de l'EBITDA en 2027 (721 M€); 3. Tuck-ins payés en 2027 (677 M€); 4. Cash-flow libre net du S2 2026 (489 M€); 5. Conversion cash-flow libre net / EBITDA en 2027 (399 M€); 6. Croissance organique de l'EBITDA en 2026 (236 M€).</w:t>
      </w:r>
    </w:p>
    <w:p>
      <w:pPr>
        <w:pStyle w:val="ListParagraph"/>
        <w:numPr>
          <w:ilvl w:val="0"/>
          <w:numId w:val="7"/>
        </w:numPr>
        <w:spacing w:after="80"/>
      </w:pPr>
      <w:r>
        <w:rPr>
          <w:rFonts w:ascii="Arial" w:cs="Arial" w:eastAsia="Arial" w:hAnsi="Arial"/>
          <w:sz w:val="22"/>
          <w:szCs w:val="22"/>
        </w:rPr>
        <w:t xml:space="preserve">Les combinaisons : tout défavorable donne −535 M€, tout favorable 3 491 M€. La réponse dépend moins du point central que du calendrier des cessions.</w:t>
      </w:r>
    </w:p>
    <w:p>
      <w:pPr>
        <w:shd w:fill="FFF2A8" w:color="auto" w:val="clear"/>
        <w:spacing w:after="160" w:before="160"/>
      </w:pPr>
      <w:r>
        <w:rPr>
          <w:rFonts w:ascii="Arial" w:cs="Arial" w:eastAsia="Arial" w:hAnsi="Arial"/>
          <w:i/>
          <w:iCs/>
          <w:sz w:val="22"/>
          <w:szCs w:val="22"/>
        </w:rPr>
        <w:t xml:space="preserve">[À rédiger] 08_Livrables/texte/role-3.md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du S2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 S1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−1 238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3 855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versés, minoritaires compris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−1 394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Calendrier central S2 2026 / 2027 / S1 2028</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0,25 / 0,95 / 0,70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hypothèses s26 et s27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croissance organique EBITDA,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1 327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conversion moyenne 2024-2025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1 482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+8 %, minoritaires constants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centrale fin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−535 · favorable 3 491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cédé par le programme au multiple central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13 % de l'EBITDA des déchets solides, 4 % des strongholds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5 383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en France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8 547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au Maroc (après Lydec)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des pays de moins de 500 M€</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7 207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2022 → S1 2026 (deals.csv)</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1 585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opérations, 113 M€ en moyenne, la plus grande 580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Rythme passé de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374 M EUR /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 Md€ demandent 5,3 ans à ce rythme, ou 18 opérations moyennes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Aucun multiple de cession n'est publié : on suppose 10x, entre 8x et 12x. Les produits de cession passés (deals.csv) sont des encaissements, pas des valeurs d'entreprise : ils disent le rythme, pas le prix.</w:t>
      </w:r>
    </w:p>
    <w:p>
      <w:pPr>
        <w:pStyle w:val="ListParagraph"/>
        <w:numPr>
          <w:ilvl w:val="0"/>
          <w:numId w:val="5"/>
        </w:numPr>
        <w:spacing w:after="80"/>
      </w:pPr>
      <w:r>
        <w:rPr>
          <w:rFonts w:ascii="Arial" w:cs="Arial" w:eastAsia="Arial" w:hAnsi="Arial"/>
          <w:sz w:val="22"/>
          <w:szCs w:val="22"/>
        </w:rPr>
        <w:t xml:space="preserve">Aucun dividende n'est supposé versé au second semestre ; le change n'est pas prolongé.</w:t>
      </w:r>
    </w:p>
    <w:p>
      <w:pPr>
        <w:pStyle w:val="ListParagraph"/>
        <w:numPr>
          <w:ilvl w:val="0"/>
          <w:numId w:val="5"/>
        </w:numPr>
        <w:spacing w:after="80"/>
      </w:pPr>
      <w:r>
        <w:rPr>
          <w:rFonts w:ascii="Arial" w:cs="Arial" w:eastAsia="Arial" w:hAnsi="Arial"/>
          <w:sz w:val="22"/>
          <w:szCs w:val="22"/>
        </w:rPr>
        <w:t xml:space="preserve">Le pont de dette 2025 du communiqué laisse 398 M€ de flux non détaillés (dont au moins 244 M€ de dividendes aux minoritaires).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Que peut vendre Veolia, concrètement ?</w:t>
      </w:r>
    </w:p>
    <w:p>
      <w:pPr>
        <w:spacing w:after="120" w:line="300"/>
      </w:pPr>
      <w:r>
        <w:rPr>
          <w:rFonts w:ascii="Arial" w:cs="Arial" w:eastAsia="Arial" w:hAnsi="Arial"/>
          <w:sz w:val="22"/>
          <w:szCs w:val="22"/>
        </w:rPr>
        <w:t xml:space="preserve">Ce que GreenUp appelle les activités matures (p.64) : construction, facility management, collecte. Le programme de 2 Md€ retire 200 M€ d'EBITDA au multiple central, soit 13 % de l'EBITDA des déchets solides (1 566 M€) et 2,8 % du chiffre d'affaires du groupe, réparti sur 17 pays de plus de 500 M€ (DEU p.375). Les actifs existent ; la question est le rythme : depuis 2022, 14 cessions pour 1 585 M€, 113 M€ en moyenne — 2 Md€ en deux ans, c'est 5,3 années du rythme passé.</w:t>
      </w:r>
    </w:p>
    <w:p>
      <w:pPr>
        <w:spacing w:after="120" w:line="300"/>
      </w:pPr>
      <w:r>
        <w:rPr>
          <w:rFonts w:ascii="Arial" w:cs="Arial" w:eastAsia="Arial" w:hAnsi="Arial"/>
          <w:b/>
          <w:bCs/>
          <w:sz w:val="22"/>
          <w:szCs w:val="22"/>
        </w:rPr>
        <w:t xml:space="preserve">Quelle est l'hypothèse la plus fragile du modèle ?</w:t>
      </w:r>
    </w:p>
    <w:p>
      <w:pPr>
        <w:spacing w:after="120" w:line="300"/>
      </w:pPr>
      <w:r>
        <w:rPr>
          <w:rFonts w:ascii="Arial" w:cs="Arial" w:eastAsia="Arial" w:hAnsi="Arial"/>
          <w:sz w:val="22"/>
          <w:szCs w:val="22"/>
        </w:rPr>
        <w:t xml:space="preserve">La croissance organique de l'EBITDA (g26, g27), parce qu'elle est faite d'efficacité : 90 % de l'organique 2026 du modèle (388 M€), c'est le programme de 350 M€ par an de GreenUp. Un programme de coûts se tient ou ne se tient pas ; la sensibilité de Trajectoire (g26 bas, g27 bas) en donne la version douce, l'onglet Pont EBITDA §D la version dure : −529 M€ de marge si rien n'est livré.</w:t>
      </w:r>
    </w:p>
    <w:p>
      <w:pPr>
        <w:spacing w:after="120" w:line="300"/>
      </w:pPr>
      <w:r>
        <w:rPr>
          <w:rFonts w:ascii="Arial" w:cs="Arial" w:eastAsia="Arial" w:hAnsi="Arial"/>
          <w:b/>
          <w:bCs/>
          <w:sz w:val="22"/>
          <w:szCs w:val="22"/>
        </w:rPr>
        <w:t xml:space="preserve">Pourquoi croire la guidance ?</w:t>
      </w:r>
    </w:p>
    <w:p>
      <w:pPr>
        <w:spacing w:after="120" w:line="300"/>
      </w:pPr>
      <w:r>
        <w:rPr>
          <w:rFonts w:ascii="Arial" w:cs="Arial" w:eastAsia="Arial" w:hAnsi="Arial"/>
          <w:sz w:val="22"/>
          <w:szCs w:val="22"/>
        </w:rPr>
        <w:t xml:space="preserve">Parce que Veolia a tenu ses objectifs financiers depuis 2020 : 8 / 8 dans notre tableau (Impact 2023 : 6,5 Md€ d'EBITDA pour 4,7 à 4,9 visés ; guidance 2025 : +5 à +6 % d'EBITDA organique, réalisé +6,3 %). Les objectifs manqués sont non financiers (465 kt de plastiques pour 610 visés, mixité). C'est ce qui donne au scénario central plus de poids qu'au défavorable — sans effacer la dépendance à l'efficacité (Pont EBITDA §D).</w:t>
      </w:r>
    </w:p>
    <w:p>
      <w:pPr>
        <w:spacing w:after="120" w:line="300"/>
      </w:pPr>
      <w:r>
        <w:rPr>
          <w:rFonts w:ascii="Arial" w:cs="Arial" w:eastAsia="Arial" w:hAnsi="Arial"/>
          <w:b/>
          <w:bCs/>
          <w:sz w:val="22"/>
          <w:szCs w:val="22"/>
        </w:rPr>
        <w:t xml:space="preserve">Et l'énergie, le dollar, les taux ?</w:t>
      </w:r>
    </w:p>
    <w:p>
      <w:pPr>
        <w:spacing w:after="120" w:line="300"/>
      </w:pPr>
      <w:r>
        <w:rPr>
          <w:rFonts w:ascii="Arial" w:cs="Arial" w:eastAsia="Arial" w:hAnsi="Arial"/>
          <w:sz w:val="22"/>
          <w:szCs w:val="22"/>
        </w:rPr>
        <w:t xml:space="preserve">Des entrées externes que le DEU chiffre : l'énergie et les recyclats ont coûté −30 M€ d'EBITDA en 2025 et −60 M€ au seul S1 2026 — une année comme ce semestre coûterait 360 M€ de marge sous 3x. La dette en dollars (2 455 M€) ajoute 246 M€ de dette si le dollar monte de 10 % ; la position nette à taux variable (−2 992 M€) coûte 30 M€ par point de taux. Aucune ne pèse autant que les cessions ou l'efficacité, mais elles s'additionnent (Sensibilité, bloc Macro).</w:t>
      </w:r>
    </w:p>
    <w:p>
      <w:pPr>
        <w:spacing w:after="120" w:line="300"/>
      </w:pPr>
      <w:r>
        <w:rPr>
          <w:rFonts w:ascii="Arial" w:cs="Arial" w:eastAsia="Arial" w:hAnsi="Arial"/>
          <w:b/>
          <w:bCs/>
          <w:sz w:val="22"/>
          <w:szCs w:val="22"/>
        </w:rPr>
        <w:t xml:space="preserve">Votre fourchette est-elle une probabilité ?</w:t>
      </w:r>
    </w:p>
    <w:p>
      <w:pPr>
        <w:spacing w:after="120" w:line="300"/>
      </w:pPr>
      <w:r>
        <w:rPr>
          <w:rFonts w:ascii="Arial" w:cs="Arial" w:eastAsia="Arial" w:hAnsi="Arial"/>
          <w:sz w:val="22"/>
          <w:szCs w:val="22"/>
        </w:rPr>
        <w:t xml:space="preserve">Oui depuis l'onglet Distribution : chaque hypothèse est tirée dans une loi triangulaire entre ses bornes (le sommet à la base), un facteur « conjoncture » fait bouger ensemble croissance, cash-flow, cessions et multiples (poids 0,4, hypothèse du groupe). Sur 1 000 futurs : 100 % tiennent les deux plafonds, 0 % passent sous le seuil S&amp;P fin 2026, 40 % atteignent 8 Md€ d'EBITDA. Les tirages sont fixés par une graine : le classeur redonne les mêmes nombres, et le simulateur web, qui lit les mêmes formules, aussi.</w:t>
      </w:r>
    </w:p>
    <w:p>
      <w:pPr>
        <w:spacing w:after="120" w:line="300"/>
      </w:pPr>
      <w:r>
        <w:rPr>
          <w:rFonts w:ascii="Arial" w:cs="Arial" w:eastAsia="Arial" w:hAnsi="Arial"/>
          <w:b/>
          <w:bCs/>
          <w:sz w:val="22"/>
          <w:szCs w:val="22"/>
        </w:rPr>
        <w:t xml:space="preserve">Et si les cessions glissent en 2028 ?</w:t>
      </w:r>
    </w:p>
    <w:p>
      <w:pPr>
        <w:spacing w:after="120" w:line="300"/>
      </w:pPr>
      <w:r>
        <w:rPr>
          <w:rFonts w:ascii="Arial" w:cs="Arial" w:eastAsia="Arial" w:hAnsi="Arial"/>
          <w:sz w:val="22"/>
          <w:szCs w:val="22"/>
        </w:rPr>
        <w:t xml:space="preserve">Sans rien encaisser du reste du programme en 2027, la marge tombe de 1 571 à 1 092 M€. C'est le premier facteur.</w:t>
      </w:r>
    </w:p>
    <w:p>
      <w:pPr>
        <w:spacing w:after="120" w:line="300"/>
      </w:pPr>
      <w:r>
        <w:rPr>
          <w:rFonts w:ascii="Arial" w:cs="Arial" w:eastAsia="Arial" w:hAnsi="Arial"/>
          <w:b/>
          <w:bCs/>
          <w:sz w:val="22"/>
          <w:szCs w:val="22"/>
        </w:rPr>
        <w:t xml:space="preserve">Pourquoi ne pas couper le dividende ?</w:t>
      </w:r>
    </w:p>
    <w:p>
      <w:pPr>
        <w:spacing w:after="120" w:line="300"/>
      </w:pPr>
      <w:r>
        <w:rPr>
          <w:rFonts w:ascii="Arial" w:cs="Arial" w:eastAsia="Arial" w:hAnsi="Arial"/>
          <w:sz w:val="22"/>
          <w:szCs w:val="22"/>
        </w:rPr>
        <w:t xml:space="preserve">GreenUp s'engage sur un dividende qui suit le bénéfice par action (p.66). Le modèle le traite comme un engagement ; chaque 100 M€ économisés vaudrait 100 M€ de marge.</w:t>
      </w:r>
    </w:p>
    <w:p>
      <w:pPr>
        <w:spacing w:after="120" w:line="300"/>
      </w:pPr>
      <w:r>
        <w:rPr>
          <w:rFonts w:ascii="Arial" w:cs="Arial" w:eastAsia="Arial" w:hAnsi="Arial"/>
          <w:b/>
          <w:bCs/>
          <w:sz w:val="22"/>
          <w:szCs w:val="22"/>
        </w:rPr>
        <w:t xml:space="preserve">Pourquoi le multiple de cession compte-t-il ?</w:t>
      </w:r>
    </w:p>
    <w:p>
      <w:pPr>
        <w:spacing w:after="120" w:line="300"/>
      </w:pPr>
      <w:r>
        <w:rPr>
          <w:rFonts w:ascii="Arial" w:cs="Arial" w:eastAsia="Arial" w:hAnsi="Arial"/>
          <w:sz w:val="22"/>
          <w:szCs w:val="22"/>
        </w:rPr>
        <w:t xml:space="preserve">Chaque euro encaissé réduit la dette d'un euro mais retire 1/multiple d'EBITDA, soit trois fois plus de capacité : à 10x, 100 M€ de cessions ne libèrent que 70 M€ de marge.</w:t>
      </w:r>
    </w:p>
    <w:p>
      <w:r>
        <w:br w:type="page"/>
      </w:r>
    </w:p>
    <w:p>
      <w:pPr>
        <w:pStyle w:val="Heading1"/>
        <w:spacing w:after="120" w:before="240"/>
      </w:pPr>
      <w:r>
        <w:rPr>
          <w:rFonts w:ascii="Arial" w:cs="Arial" w:eastAsia="Arial" w:hAnsi="Arial"/>
        </w:rPr>
        <w:t xml:space="preserve">Rôle 4 — L'écart et les comparables</w:t>
      </w:r>
    </w:p>
    <w:p>
      <w:pPr>
        <w:spacing w:after="120" w:line="300"/>
      </w:pPr>
      <w:r>
        <w:rPr>
          <w:rFonts w:ascii="Arial" w:cs="Arial" w:eastAsia="Arial" w:hAnsi="Arial"/>
          <w:i/>
          <w:iCs/>
          <w:color w:val="555555"/>
          <w:sz w:val="22"/>
          <w:szCs w:val="22"/>
        </w:rPr>
        <w:t xml:space="preserve">Où se situe le booster face à 2027, et qui est réellement comparable.</w:t>
      </w:r>
    </w:p>
    <w:p>
      <w:pPr>
        <w:shd w:fill="FFF2A8" w:color="auto" w:val="clear"/>
        <w:spacing w:after="160" w:before="160"/>
      </w:pPr>
      <w:r>
        <w:rPr>
          <w:rFonts w:ascii="Arial" w:cs="Arial" w:eastAsia="Arial" w:hAnsi="Arial"/>
          <w:i/>
          <w:iCs/>
          <w:sz w:val="22"/>
          <w:szCs w:val="22"/>
        </w:rPr>
        <w:t xml:space="preserve">[Section signée par : ______ ] — dans le classeur : Segments, Pont EBITDA, Booster</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En volume, l'objectif est passé de 10 Mt (« déchets dangereux et polluants ») à 9 Mt : Veolia, à 9 181 kt, tient l'objectif révisé mais reste à 819 kt de l'initial. En valeur, l'ambition de plus de 10 % par an d'EBITDA repose sur Clean Earth : en Europe, le chiffre d'affaires recule de 0,2 % en organique. Côté segments, la croissance vient des Amériques (EBITDA organique +9,3 %) et de Water Technologies (+14,1 %), pas de l'Europe (+1,8 %) : au rythme de 2025, l'EBITDA 2027 atteindrait 8,09 Md€, l'objectif tient. Chez Clean Harbors, le comparable direct, la marge est de 19,4 % ; chez Clean Earth vu par son vendeur, 15,9 % sur un EBITDA 2025 reconstitué de 155 M$, un tiers sous les 200 M$ 2026E de Veolia. Les 8 Md€ sont d'abord un plan de coûts : l'efficacité promise (350 M€ par an, GreenUp p.58) couvre 93 % de l'écart entre la base 2023 (6,5 Md€) et l'objectif ; en 2025, les 399 M€ de gains d'efficacité expliquent 93 % de la croissance organique de l'EBITDA (+6,3 %, soit ~428 M€), et hors efficacité et synergies Suez l'EBITDA organique recule d'environ 70 M€. Sans efficacité en 2026-2027, la marge sous 3x fin 2027 passe de 1 571 à −529 M€.</w:t>
      </w:r>
    </w:p>
    <w:p>
      <w:pPr>
        <w:pStyle w:val="Heading2"/>
        <w:spacing w:after="120" w:before="240"/>
      </w:pPr>
      <w:r>
        <w:rPr>
          <w:rFonts w:ascii="Arial" w:cs="Arial" w:eastAsia="Arial" w:hAnsi="Arial"/>
        </w:rPr>
        <w:t xml:space="preserve">Raisonnement (généré)</w:t>
      </w:r>
    </w:p>
    <w:p>
      <w:pPr>
        <w:pStyle w:val="ListParagraph"/>
        <w:numPr>
          <w:ilvl w:val="0"/>
          <w:numId w:val="8"/>
        </w:numPr>
        <w:spacing w:after="80"/>
      </w:pPr>
      <w:r>
        <w:rPr>
          <w:rFonts w:ascii="Arial" w:cs="Arial" w:eastAsia="Arial" w:hAnsi="Arial"/>
          <w:sz w:val="22"/>
          <w:szCs w:val="22"/>
        </w:rPr>
        <w:t xml:space="preserve">Volumes : l'objectif a changé de niveau et de périmètre entre GreenUp (2024) et le DEU 2025. Le dire avant de comparer.</w:t>
      </w:r>
    </w:p>
    <w:p>
      <w:pPr>
        <w:pStyle w:val="ListParagraph"/>
        <w:numPr>
          <w:ilvl w:val="0"/>
          <w:numId w:val="8"/>
        </w:numPr>
        <w:spacing w:after="80"/>
      </w:pPr>
      <w:r>
        <w:rPr>
          <w:rFonts w:ascii="Arial" w:cs="Arial" w:eastAsia="Arial" w:hAnsi="Arial"/>
          <w:sz w:val="22"/>
          <w:szCs w:val="22"/>
        </w:rPr>
        <w:t xml:space="preserve">Profil financier : avec Clean Earth, le métier pèse 5,2 Md€ de chiffre d'affaires et 0,9 Md€ d'EBITDA. À +10 % par an depuis ce pro forma, on viserait environ 1,09 Md€ en 2027 (illustratif).</w:t>
      </w:r>
    </w:p>
    <w:p>
      <w:pPr>
        <w:pStyle w:val="ListParagraph"/>
        <w:numPr>
          <w:ilvl w:val="0"/>
          <w:numId w:val="8"/>
        </w:numPr>
        <w:spacing w:after="80"/>
      </w:pPr>
      <w:r>
        <w:rPr>
          <w:rFonts w:ascii="Arial" w:cs="Arial" w:eastAsia="Arial" w:hAnsi="Arial"/>
          <w:sz w:val="22"/>
          <w:szCs w:val="22"/>
        </w:rPr>
        <w:t xml:space="preserve">Moteur organique : l'Europe est à −0,2 % au S1 2026, les Amériques progressent de 10,9 % en publié. La croissance du booster est achetée plus que générée.</w:t>
      </w:r>
    </w:p>
    <w:p>
      <w:pPr>
        <w:pStyle w:val="ListParagraph"/>
        <w:numPr>
          <w:ilvl w:val="0"/>
          <w:numId w:val="8"/>
        </w:numPr>
        <w:spacing w:after="80"/>
      </w:pPr>
      <w:r>
        <w:rPr>
          <w:rFonts w:ascii="Arial" w:cs="Arial" w:eastAsia="Arial" w:hAnsi="Arial"/>
          <w:sz w:val="22"/>
          <w:szCs w:val="22"/>
        </w:rPr>
        <w:t xml:space="preserve">Les segments (question 1 du cours) : Amériques +9,3 % et Water Technologies +14,1 % d'EBITDA organique en 2025, Europe +1,8 %, France-DD +6 % publié. Les boosters font 13 191 M€ de CA et 1 668 M€ d'EBITDA (+12,1 % organique). Prolongé deux ans, ce rythme donne 8,09 Md€ en 2027 : l'objectif tient, mais par les Amériques et les technologies de l'eau, pas par l'Europe.</w:t>
      </w:r>
    </w:p>
    <w:p>
      <w:pPr>
        <w:pStyle w:val="ListParagraph"/>
        <w:numPr>
          <w:ilvl w:val="0"/>
          <w:numId w:val="8"/>
        </w:numPr>
        <w:spacing w:after="80"/>
      </w:pPr>
      <w:r>
        <w:rPr>
          <w:rFonts w:ascii="Arial" w:cs="Arial" w:eastAsia="Arial" w:hAnsi="Arial"/>
          <w:sz w:val="22"/>
          <w:szCs w:val="22"/>
        </w:rPr>
        <w:t xml:space="preserve">Clean Earth vu du vendeur : 973,9 M$ de chiffre d'affaires et 91,7 M$ de résultat opérationnel en 2025, soit 155 M$ d'EBITDA une fois les 63,4 M$ de D&amp;A rajoutés. Veolia paie 9,8x un EBITDA 2026E de 200 M$, 29 % plus haut : sur l'EBITDA du vendeur, le prix ressort à 19,3x.</w:t>
      </w:r>
    </w:p>
    <w:p>
      <w:pPr>
        <w:pStyle w:val="ListParagraph"/>
        <w:numPr>
          <w:ilvl w:val="0"/>
          <w:numId w:val="8"/>
        </w:numPr>
        <w:spacing w:after="80"/>
      </w:pPr>
      <w:r>
        <w:rPr>
          <w:rFonts w:ascii="Arial" w:cs="Arial" w:eastAsia="Arial" w:hAnsi="Arial"/>
          <w:sz w:val="22"/>
          <w:szCs w:val="22"/>
        </w:rPr>
        <w:t xml:space="preserve">Comparabilité : même mix (incinération, traitement physico-chimique, centres de stockage spécialisés), même géographie que le booster américain, et même définition d'EBITDA et de levier — Clean Harbors publie un EBITDA « ajusté » selon sa propre définition, Veolia un EBITDA IFRS 16 inclus.</w:t>
      </w:r>
    </w:p>
    <w:p>
      <w:pPr>
        <w:pStyle w:val="ListParagraph"/>
        <w:numPr>
          <w:ilvl w:val="0"/>
          <w:numId w:val="8"/>
        </w:numPr>
        <w:spacing w:after="80"/>
      </w:pPr>
      <w:r>
        <w:rPr>
          <w:rFonts w:ascii="Arial" w:cs="Arial" w:eastAsia="Arial" w:hAnsi="Arial"/>
          <w:sz w:val="22"/>
          <w:szCs w:val="22"/>
        </w:rPr>
        <w:t xml:space="preserve">Candidats : Clean Harbors (États-Unis, concurrent direct de Clean Earth, dans la dataroom), Enviri (le vendeur : ses comptes donnent l'historique de la cible). Republic Services n'est comparable que par sa filiale US Ecology.</w:t>
      </w:r>
    </w:p>
    <w:p>
      <w:pPr>
        <w:shd w:fill="FFF2A8" w:color="auto" w:val="clear"/>
        <w:spacing w:after="160" w:before="160"/>
      </w:pPr>
      <w:r>
        <w:rPr>
          <w:rFonts w:ascii="Arial" w:cs="Arial" w:eastAsia="Arial" w:hAnsi="Arial"/>
          <w:i/>
          <w:iCs/>
          <w:sz w:val="22"/>
          <w:szCs w:val="22"/>
        </w:rPr>
        <w:t xml:space="preserve">[À rédiger] 08_Livrables/texte/role-4.md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9 181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actuel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initial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en construction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pro forma avec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EBITDA, par an, plus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+10 %/an depuis le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illustratif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Déchets dangereux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1 189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croissance organique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Amériques-Asie-Afrique, S1/S1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publié, périmètre courant</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1 030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2026E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 CA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Water Technologies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13 191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efficacité par 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l'écart 2023 → 2027 couverte par l'efficacité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 × 350 / (8 000 − 6 500)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en M EUR sur la base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approximation : base organique non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Reste hors efficacité et synergies,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 efficacité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2026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l'efficacité promise en représente 90 %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 sans efficacité en 2026-2027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3,07x ; à mi-chemin 521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tuck-ins intégrés en deux 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1 668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chaque segment garde son rythme de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8 094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onglet Segments §C</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1 169 939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CA du segment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2025 reconstitué (RO + D&amp;A)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10-K p.70 + p.284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2025 reconstituée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comptes de Clean Harbors et d'Enviri ne se téléchargent pas depuis le serveur (refus 403) : à verser à la main.</w:t>
      </w:r>
    </w:p>
    <w:p>
      <w:pPr>
        <w:pStyle w:val="ListParagraph"/>
        <w:numPr>
          <w:ilvl w:val="0"/>
          <w:numId w:val="5"/>
        </w:numPr>
        <w:spacing w:after="80"/>
      </w:pPr>
      <w:r>
        <w:rPr>
          <w:rFonts w:ascii="Arial" w:cs="Arial" w:eastAsia="Arial" w:hAnsi="Arial"/>
          <w:sz w:val="22"/>
          <w:szCs w:val="22"/>
        </w:rPr>
        <w:t xml:space="preserve">La base organique 2024 (périmètre et change constants) n'est pas publiée : les 428 M€ de croissance organique 2025 sont calculés sur l'EBITDA 2024 publié, à quelques millions près.</w:t>
      </w:r>
    </w:p>
    <w:p>
      <w:pPr>
        <w:pStyle w:val="ListParagraph"/>
        <w:numPr>
          <w:ilvl w:val="0"/>
          <w:numId w:val="5"/>
        </w:numPr>
        <w:spacing w:after="80"/>
      </w:pPr>
      <w:r>
        <w:rPr>
          <w:rFonts w:ascii="Arial" w:cs="Arial" w:eastAsia="Arial" w:hAnsi="Arial"/>
          <w:sz w:val="22"/>
          <w:szCs w:val="22"/>
        </w:rPr>
        <w:t xml:space="preserve">Le multiple des tuck-ins espagnols est imprimé « c.7.4x » (présentation 2025, p.19) : l'audit le signale hors page tant qu'un relecteur ne l'a pas confirmé.</w:t>
      </w:r>
    </w:p>
    <w:p>
      <w:pPr>
        <w:pStyle w:val="ListParagraph"/>
        <w:numPr>
          <w:ilvl w:val="0"/>
          <w:numId w:val="5"/>
        </w:numPr>
        <w:spacing w:after="80"/>
      </w:pPr>
      <w:r>
        <w:rPr>
          <w:rFonts w:ascii="Arial" w:cs="Arial" w:eastAsia="Arial" w:hAnsi="Arial"/>
          <w:sz w:val="22"/>
          <w:szCs w:val="22"/>
        </w:rPr>
        <w:t xml:space="preserve">Aucune valeur de marché des pairs (capitalisation, VE) n'est dans la dataroom.</w:t>
      </w:r>
    </w:p>
    <w:p>
      <w:pPr>
        <w:pStyle w:val="ListParagraph"/>
        <w:numPr>
          <w:ilvl w:val="0"/>
          <w:numId w:val="5"/>
        </w:numPr>
        <w:spacing w:after="80"/>
      </w:pPr>
      <w:r>
        <w:rPr>
          <w:rFonts w:ascii="Arial" w:cs="Arial" w:eastAsia="Arial" w:hAnsi="Arial"/>
          <w:sz w:val="22"/>
          <w:szCs w:val="22"/>
        </w:rPr>
        <w:t xml:space="preserve">L'EBITDA déchets dangereux de Veolia seul en 2024, base de l'ambition de +10 %, n'est pas publié.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D'où viennent exactement les 8 Md€ ?</w:t>
      </w:r>
    </w:p>
    <w:p>
      <w:pPr>
        <w:spacing w:after="120" w:line="300"/>
      </w:pPr>
      <w:r>
        <w:rPr>
          <w:rFonts w:ascii="Arial" w:cs="Arial" w:eastAsia="Arial" w:hAnsi="Arial"/>
          <w:sz w:val="22"/>
          <w:szCs w:val="22"/>
        </w:rPr>
        <w:t xml:space="preserve">De l'efficacité d'abord. GreenUp promet 350 M€ de gains par an : sur quatre ans, 93 % de l'écart entre 6,5 Md€ (2023) et 8 Md€. 2025 le confirme : 399 M€ d'efficacité pour ~428 M€ de croissance organique de l'EBITDA ; avec les 99 M€ de synergies Suez supplémentaires, les deux programmes dépassent la croissance organique. Le reste (volumes, prix, énergie) ne couvre pas l'inflation des coûts.</w:t>
      </w:r>
    </w:p>
    <w:p>
      <w:pPr>
        <w:spacing w:after="120" w:line="300"/>
      </w:pPr>
      <w:r>
        <w:rPr>
          <w:rFonts w:ascii="Arial" w:cs="Arial" w:eastAsia="Arial" w:hAnsi="Arial"/>
          <w:b/>
          <w:bCs/>
          <w:sz w:val="22"/>
          <w:szCs w:val="22"/>
        </w:rPr>
        <w:t xml:space="preserve">Et si l'efficacité n'est pas livrée en 2026-2027 ?</w:t>
      </w:r>
    </w:p>
    <w:p>
      <w:pPr>
        <w:spacing w:after="120" w:line="300"/>
      </w:pPr>
      <w:r>
        <w:rPr>
          <w:rFonts w:ascii="Arial" w:cs="Arial" w:eastAsia="Arial" w:hAnsi="Arial"/>
          <w:sz w:val="22"/>
          <w:szCs w:val="22"/>
        </w:rPr>
        <w:t xml:space="preserve">Chaque euro d'efficacité manquant retire trois euros de capacité d'endettement et aucun cash-flow ne le compense. Sans aucun gain en 2026-2027, l'EBITDA 2027 perd 700 M€, le levier remonte à 3,07x et la marge sous 3x devient −529 M€. C'est la question à poser à Veolia : les 350 M€ par an sont-ils sécurisés, et par quoi ?</w:t>
      </w:r>
    </w:p>
    <w:p>
      <w:pPr>
        <w:spacing w:after="120" w:line="300"/>
      </w:pPr>
      <w:r>
        <w:rPr>
          <w:rFonts w:ascii="Arial" w:cs="Arial" w:eastAsia="Arial" w:hAnsi="Arial"/>
          <w:b/>
          <w:bCs/>
          <w:sz w:val="22"/>
          <w:szCs w:val="22"/>
        </w:rPr>
        <w:t xml:space="preserve">Le booster est-il en retard ?</w:t>
      </w:r>
    </w:p>
    <w:p>
      <w:pPr>
        <w:spacing w:after="120" w:line="300"/>
      </w:pPr>
      <w:r>
        <w:rPr>
          <w:rFonts w:ascii="Arial" w:cs="Arial" w:eastAsia="Arial" w:hAnsi="Arial"/>
          <w:sz w:val="22"/>
          <w:szCs w:val="22"/>
        </w:rPr>
        <w:t xml:space="preserve">En volume, sur l'objectif initial, oui ; sur l'objectif révisé, non. En valeur, il n'est dans les clous que grâce à Clean Earth.</w:t>
      </w:r>
    </w:p>
    <w:p>
      <w:pPr>
        <w:spacing w:after="120" w:line="300"/>
      </w:pPr>
      <w:r>
        <w:rPr>
          <w:rFonts w:ascii="Arial" w:cs="Arial" w:eastAsia="Arial" w:hAnsi="Arial"/>
          <w:b/>
          <w:bCs/>
          <w:sz w:val="22"/>
          <w:szCs w:val="22"/>
        </w:rPr>
        <w:t xml:space="preserve">Pourquoi Clean Harbors est-il le bon comparable ?</w:t>
      </w:r>
    </w:p>
    <w:p>
      <w:pPr>
        <w:spacing w:after="120" w:line="300"/>
      </w:pPr>
      <w:r>
        <w:rPr>
          <w:rFonts w:ascii="Arial" w:cs="Arial" w:eastAsia="Arial" w:hAnsi="Arial"/>
          <w:sz w:val="22"/>
          <w:szCs w:val="22"/>
        </w:rPr>
        <w:t xml:space="preserve">Même métier aux États-Unis, là où Clean Earth opère : 6 030,8 M$ de chiffre d'affaires, marge 19,4 %, comptes 10-K audités. Mais son EBITDA est « ajusté » selon sa définition, et il porte ses propres passifs environnementaux : comparer les marges demande la même base.</w:t>
      </w:r>
    </w:p>
    <w:p>
      <w:pPr>
        <w:spacing w:after="120" w:line="300"/>
      </w:pPr>
      <w:r>
        <w:rPr>
          <w:rFonts w:ascii="Arial" w:cs="Arial" w:eastAsia="Arial" w:hAnsi="Arial"/>
          <w:b/>
          <w:bCs/>
          <w:sz w:val="22"/>
          <w:szCs w:val="22"/>
        </w:rPr>
        <w:t xml:space="preserve">L'objectif de 9 Mt est-il une révision à la baisse ?</w:t>
      </w:r>
    </w:p>
    <w:p>
      <w:pPr>
        <w:spacing w:after="120" w:line="300"/>
      </w:pPr>
      <w:r>
        <w:rPr>
          <w:rFonts w:ascii="Arial" w:cs="Arial" w:eastAsia="Arial" w:hAnsi="Arial"/>
          <w:sz w:val="22"/>
          <w:szCs w:val="22"/>
        </w:rPr>
        <w:t xml:space="preserve">Le chiffre baisse et le libellé perd « et polluants ». Le DEU ne l'explique pas : c'est une question à poser, pas à trancher.</w:t>
      </w:r>
    </w:p>
    <w:p>
      <w:r>
        <w:br w:type="page"/>
      </w:r>
    </w:p>
    <w:p>
      <w:pPr>
        <w:pStyle w:val="Heading1"/>
        <w:spacing w:after="120" w:before="240"/>
      </w:pPr>
      <w:r>
        <w:rPr>
          <w:rFonts w:ascii="Arial" w:cs="Arial" w:eastAsia="Arial" w:hAnsi="Arial"/>
        </w:rPr>
        <w:t xml:space="preserve">Rôle 5 — Le coût ESG</w:t>
      </w:r>
    </w:p>
    <w:p>
      <w:pPr>
        <w:spacing w:after="120" w:line="300"/>
      </w:pPr>
      <w:r>
        <w:rPr>
          <w:rFonts w:ascii="Arial" w:cs="Arial" w:eastAsia="Arial" w:hAnsi="Arial"/>
          <w:i/>
          <w:iCs/>
          <w:color w:val="555555"/>
          <w:sz w:val="22"/>
          <w:szCs w:val="22"/>
        </w:rPr>
        <w:t xml:space="preserve">Ce qu'une acquisition ajoute en passif et en exposition.</w:t>
      </w:r>
    </w:p>
    <w:p>
      <w:pPr>
        <w:shd w:fill="FFF2A8" w:color="auto" w:val="clear"/>
        <w:spacing w:after="160" w:before="160"/>
      </w:pPr>
      <w:r>
        <w:rPr>
          <w:rFonts w:ascii="Arial" w:cs="Arial" w:eastAsia="Arial" w:hAnsi="Arial"/>
          <w:i/>
          <w:iCs/>
          <w:sz w:val="22"/>
          <w:szCs w:val="22"/>
        </w:rPr>
        <w:t xml:space="preserve">[Section signée par : ______ ] — dans le classeur : ESG</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Veolia porte 1 290 M€ de provisions de fermeture et post-fermeture (0,17x d'EBITDA), en hausse de 76 M€ au S1 2026, dont +54 M€ dans le segment où est entré Clean Earth. Mais 81 % du prix de Clean Earth est encore du goodwill : l'affectation du prix n'est pas faite, donc la juste valeur de ses passifs environnementaux n'apparaît pas encore chez Veolia. Les comparables donnent l'ordre de grandeur : Clean Harbors porte 3,8 % de son chiffre d'affaires en passifs environnementaux ; appliqué au chiffre d'affaires de Clean Earth, cela ferait 37 M$. Le groupe Enviri entier en porte 51 M$. C'est une analogie, pas une mesure.</w:t>
      </w:r>
    </w:p>
    <w:p>
      <w:pPr>
        <w:pStyle w:val="Heading2"/>
        <w:spacing w:after="120" w:before="240"/>
      </w:pPr>
      <w:r>
        <w:rPr>
          <w:rFonts w:ascii="Arial" w:cs="Arial" w:eastAsia="Arial" w:hAnsi="Arial"/>
        </w:rPr>
        <w:t xml:space="preserve">Raisonnement (généré)</w:t>
      </w:r>
    </w:p>
    <w:p>
      <w:pPr>
        <w:pStyle w:val="ListParagraph"/>
        <w:numPr>
          <w:ilvl w:val="0"/>
          <w:numId w:val="9"/>
        </w:numPr>
        <w:spacing w:after="80"/>
      </w:pPr>
      <w:r>
        <w:rPr>
          <w:rFonts w:ascii="Arial" w:cs="Arial" w:eastAsia="Arial" w:hAnsi="Arial"/>
          <w:sz w:val="22"/>
          <w:szCs w:val="22"/>
        </w:rPr>
        <w:t xml:space="preserve">Le stock : 1 214 M€ fin 2025, surtout de la réhabilitation de sites ; il coûte 72 M€ par an de désactualisation, une charge financière qui ne passe pas dans l'EBITDA.</w:t>
      </w:r>
    </w:p>
    <w:p>
      <w:pPr>
        <w:pStyle w:val="ListParagraph"/>
        <w:numPr>
          <w:ilvl w:val="0"/>
          <w:numId w:val="9"/>
        </w:numPr>
        <w:spacing w:after="80"/>
      </w:pPr>
      <w:r>
        <w:rPr>
          <w:rFonts w:ascii="Arial" w:cs="Arial" w:eastAsia="Arial" w:hAnsi="Arial"/>
          <w:sz w:val="22"/>
          <w:szCs w:val="22"/>
        </w:rPr>
        <w:t xml:space="preserve">Ce que Clean Earth a ajouté jusqu'ici : la hausse du segment Amériques est compatible avec son entrée, mais Veolia ne l'attribue pas.</w:t>
      </w:r>
    </w:p>
    <w:p>
      <w:pPr>
        <w:pStyle w:val="ListParagraph"/>
        <w:numPr>
          <w:ilvl w:val="0"/>
          <w:numId w:val="9"/>
        </w:numPr>
        <w:spacing w:after="80"/>
      </w:pPr>
      <w:r>
        <w:rPr>
          <w:rFonts w:ascii="Arial" w:cs="Arial" w:eastAsia="Arial" w:hAnsi="Arial"/>
          <w:sz w:val="22"/>
          <w:szCs w:val="22"/>
        </w:rPr>
        <w:t xml:space="preserve">Ce qu'on ne voit pas : 81 % du prix reste en goodwill préliminaire (amendement p.53). IFRS 3 laisse douze mois pour affecter le prix : la juste valeur des passifs de la cible arrivera au plus tard mi-2027.</w:t>
      </w:r>
    </w:p>
    <w:p>
      <w:pPr>
        <w:pStyle w:val="ListParagraph"/>
        <w:numPr>
          <w:ilvl w:val="0"/>
          <w:numId w:val="9"/>
        </w:numPr>
        <w:spacing w:after="80"/>
      </w:pPr>
      <w:r>
        <w:rPr>
          <w:rFonts w:ascii="Arial" w:cs="Arial" w:eastAsia="Arial" w:hAnsi="Arial"/>
          <w:sz w:val="22"/>
          <w:szCs w:val="22"/>
        </w:rPr>
        <w:t xml:space="preserve">L'exposition : 82 sites spécialisés et 700 permis aux États-Unis, une croissance attendue sur les PFAS. Ce qui est une opportunité de marché est aussi un risque de passif.</w:t>
      </w:r>
    </w:p>
    <w:p>
      <w:pPr>
        <w:pStyle w:val="ListParagraph"/>
        <w:numPr>
          <w:ilvl w:val="0"/>
          <w:numId w:val="9"/>
        </w:numPr>
        <w:spacing w:after="80"/>
      </w:pPr>
      <w:r>
        <w:rPr>
          <w:rFonts w:ascii="Arial" w:cs="Arial" w:eastAsia="Arial" w:hAnsi="Arial"/>
          <w:sz w:val="22"/>
          <w:szCs w:val="22"/>
        </w:rPr>
        <w:t xml:space="preserve">Lu en dette élargie (provisions de fermeture comprises), le levier de 2027 gagne environ 0,16x.</w:t>
      </w:r>
    </w:p>
    <w:p>
      <w:pPr>
        <w:shd w:fill="FFF2A8" w:color="auto" w:val="clear"/>
        <w:spacing w:after="160" w:before="160"/>
      </w:pPr>
      <w:r>
        <w:rPr>
          <w:rFonts w:ascii="Arial" w:cs="Arial" w:eastAsia="Arial" w:hAnsi="Arial"/>
          <w:i/>
          <w:iCs/>
          <w:sz w:val="22"/>
          <w:szCs w:val="22"/>
        </w:rPr>
        <w:t xml:space="preserve">[À rédiger] 08_Livrables/texte/role-5.md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1 214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réhabilitation de sites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1 106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risques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(charge annuelle)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payé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Goodwill en % du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aucune affectation au 30/06/2026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comptées en dette, levier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avec 50 % des hybrides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230 697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 CA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12 736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non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38 256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Ordre de grandeur pour Clean Earth par analogie Clean Harbors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analogie, pas une mesure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passifs environnementaux propres à Clean Earth sont dans les comptes d'Enviri (activité cédée) : à verser à la main.</w:t>
      </w:r>
    </w:p>
    <w:p>
      <w:pPr>
        <w:pStyle w:val="ListParagraph"/>
        <w:numPr>
          <w:ilvl w:val="0"/>
          <w:numId w:val="5"/>
        </w:numPr>
        <w:spacing w:after="80"/>
      </w:pPr>
      <w:r>
        <w:rPr>
          <w:rFonts w:ascii="Arial" w:cs="Arial" w:eastAsia="Arial" w:hAnsi="Arial"/>
          <w:sz w:val="22"/>
          <w:szCs w:val="22"/>
        </w:rPr>
        <w:t xml:space="preserve">Les garanties reçues passent de 45 à 75 M€, sans être attribuées à Clean Earth.</w:t>
      </w:r>
    </w:p>
    <w:p>
      <w:pPr>
        <w:pStyle w:val="ListParagraph"/>
        <w:numPr>
          <w:ilvl w:val="0"/>
          <w:numId w:val="5"/>
        </w:numPr>
        <w:spacing w:after="80"/>
      </w:pPr>
      <w:r>
        <w:rPr>
          <w:rFonts w:ascii="Arial" w:cs="Arial" w:eastAsia="Arial" w:hAnsi="Arial"/>
          <w:sz w:val="22"/>
          <w:szCs w:val="22"/>
        </w:rPr>
        <w:t xml:space="preserve">La dataroom ne contient aucun rapport d'agence sur le traitement des provisions environnementales.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Combien Clean Earth ajoute-t-il en passifs environnementaux ?</w:t>
      </w:r>
    </w:p>
    <w:p>
      <w:pPr>
        <w:spacing w:after="120" w:line="300"/>
      </w:pPr>
      <w:r>
        <w:rPr>
          <w:rFonts w:ascii="Arial" w:cs="Arial" w:eastAsia="Arial" w:hAnsi="Arial"/>
          <w:sz w:val="22"/>
          <w:szCs w:val="22"/>
        </w:rPr>
        <w:t xml:space="preserve">On ne peut pas encore le dire depuis les comptes de Veolia : l'affectation du prix n'est pas faite. La seule trace est la hausse des provisions du segment Amériques, que Veolia n'attribue pas. La réponse est dans les comptes d'Enviri.</w:t>
      </w:r>
    </w:p>
    <w:p>
      <w:pPr>
        <w:spacing w:after="120" w:line="300"/>
      </w:pPr>
      <w:r>
        <w:rPr>
          <w:rFonts w:ascii="Arial" w:cs="Arial" w:eastAsia="Arial" w:hAnsi="Arial"/>
          <w:b/>
          <w:bCs/>
          <w:sz w:val="22"/>
          <w:szCs w:val="22"/>
        </w:rPr>
        <w:t xml:space="preserve">Les provisions sont-elles de la dette ?</w:t>
      </w:r>
    </w:p>
    <w:p>
      <w:pPr>
        <w:spacing w:after="120" w:line="300"/>
      </w:pPr>
      <w:r>
        <w:rPr>
          <w:rFonts w:ascii="Arial" w:cs="Arial" w:eastAsia="Arial" w:hAnsi="Arial"/>
          <w:sz w:val="22"/>
          <w:szCs w:val="22"/>
        </w:rPr>
        <w:t xml:space="preserve">Pas dans la définition de Veolia. Un prêteur prudent en tient compte : elles ajouteraient environ 0,16x au levier de 2027.</w:t>
      </w:r>
    </w:p>
    <w:p>
      <w:pPr>
        <w:spacing w:after="120" w:line="300"/>
      </w:pPr>
      <w:r>
        <w:rPr>
          <w:rFonts w:ascii="Arial" w:cs="Arial" w:eastAsia="Arial" w:hAnsi="Arial"/>
          <w:b/>
          <w:bCs/>
          <w:sz w:val="22"/>
          <w:szCs w:val="22"/>
        </w:rPr>
        <w:t xml:space="preserve">Où vont les euros « verts » de Veolia, et que mesure-t-on par euro ?</w:t>
      </w:r>
    </w:p>
    <w:p>
      <w:pPr>
        <w:spacing w:after="120" w:line="300"/>
      </w:pPr>
      <w:r>
        <w:rPr>
          <w:rFonts w:ascii="Arial" w:cs="Arial" w:eastAsia="Arial" w:hAnsi="Arial"/>
          <w:sz w:val="22"/>
          <w:szCs w:val="22"/>
        </w:rPr>
        <w:t xml:space="preserve">La taxonomie européenne (DEU 2025, p.250) : sur 4,5 Md€ de capex, 2,1 Md€ sont éligibles et alignés, soit 47 % ; l'eau en porte 0,8 Md€, les déchets dangereux 0,3 Md€ — 14 % du capex aligné du groupe, mais la ligne la mieux alignée (75 % de l'éligible). Ce que le DEU ne donne pas : l'impact par euro (tonnes traitées, CO2 évité, m³ économisés par M€ investi), publié au niveau du groupe seulement. C'est la question 3 du cours, et une question pour Veolia le 16 octobre.</w:t>
      </w:r>
    </w:p>
    <w:p>
      <w:pPr>
        <w:spacing w:after="120" w:line="300"/>
      </w:pPr>
      <w:r>
        <w:rPr>
          <w:rFonts w:ascii="Arial" w:cs="Arial" w:eastAsia="Arial" w:hAnsi="Arial"/>
          <w:b/>
          <w:bCs/>
          <w:sz w:val="22"/>
          <w:szCs w:val="22"/>
        </w:rPr>
        <w:t xml:space="preserve">Pourquoi 81 % de goodwill est-il un sujet ESG ?</w:t>
      </w:r>
    </w:p>
    <w:p>
      <w:pPr>
        <w:spacing w:after="120" w:line="300"/>
      </w:pPr>
      <w:r>
        <w:rPr>
          <w:rFonts w:ascii="Arial" w:cs="Arial" w:eastAsia="Arial" w:hAnsi="Arial"/>
          <w:sz w:val="22"/>
          <w:szCs w:val="22"/>
        </w:rPr>
        <w:t xml:space="preserve">Parce que tant que le prix n'est pas affecté, un passif environnemental découvert plus tard viendra réduire l'actif net acquis et gonfler le goodwill, sans que personne l'ait vu à l'achat.</w:t>
      </w:r>
    </w:p>
    <w:p>
      <w:r>
        <w:br w:type="page"/>
      </w:r>
    </w:p>
    <w:p>
      <w:pPr>
        <w:pStyle w:val="Heading1"/>
        <w:spacing w:after="120" w:before="240"/>
      </w:pPr>
      <w:r>
        <w:rPr>
          <w:rFonts w:ascii="Arial" w:cs="Arial" w:eastAsia="Arial" w:hAnsi="Arial"/>
        </w:rPr>
        <w:t xml:space="preserve">Rôle 6 — Cibles, puis synthèse</w:t>
      </w:r>
    </w:p>
    <w:p>
      <w:pPr>
        <w:spacing w:after="120" w:line="300"/>
      </w:pPr>
      <w:r>
        <w:rPr>
          <w:rFonts w:ascii="Arial" w:cs="Arial" w:eastAsia="Arial" w:hAnsi="Arial"/>
          <w:i/>
          <w:iCs/>
          <w:color w:val="555555"/>
          <w:sz w:val="22"/>
          <w:szCs w:val="22"/>
        </w:rPr>
        <w:t xml:space="preserve">L'univers de cibles, puis une recommandation calibrée sur l'enveloppe propre.</w:t>
      </w:r>
    </w:p>
    <w:p>
      <w:pPr>
        <w:shd w:fill="FFF2A8" w:color="auto" w:val="clear"/>
        <w:spacing w:after="160" w:before="160"/>
      </w:pPr>
      <w:r>
        <w:rPr>
          <w:rFonts w:ascii="Arial" w:cs="Arial" w:eastAsia="Arial" w:hAnsi="Arial"/>
          <w:i/>
          <w:iCs/>
          <w:sz w:val="22"/>
          <w:szCs w:val="22"/>
        </w:rPr>
        <w:t xml:space="preserve">[Section signée par : ______ ] — dans le classeur : Cibles</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Fin 2027, la marge centrale permet une acquisition d'environ 2,3 Md€ au multiple de Clean Earth (médiane des 1 000 futurs tirés : 2,15 Md€ ; 80 % entre 1,33 et 3,07 Md€ ; probabilité de pouvoir acheter 1 Md€ : 97 %, 2 Md€ : 60 %, 3 Md€ : 12 %), moins que Clean Earth lui-même (2,8 Md€). Dans le scénario défavorable, rien. Une cible de 3 Md€ à 9,8x laisserait 511 M€ à trouver sous 3x fin 2027 : 511 M€ d'hybrides (22 M€ de coupon par an), ou 730 M€ de cessions accélérées (73 M€ d'EBITDA perdu par an), ou une augmentation de capital diluant de 2,4 % ; sans financement, elle ne tient que payée moins de 6,7x. Recommandation proposée : pas de nouvelle grande opération avant l'encaissement du programme de cessions ; des tuck-ins au bas de la fourchette en 2027 ; une cible de 1 à 2 Md€ seulement une fois les cessions encaissées.</w:t>
      </w:r>
    </w:p>
    <w:p>
      <w:pPr>
        <w:pStyle w:val="Heading2"/>
        <w:spacing w:after="120" w:before="240"/>
      </w:pPr>
      <w:r>
        <w:rPr>
          <w:rFonts w:ascii="Arial" w:cs="Arial" w:eastAsia="Arial" w:hAnsi="Arial"/>
        </w:rPr>
        <w:t xml:space="preserve">Raisonnement (généré)</w:t>
      </w:r>
    </w:p>
    <w:p>
      <w:pPr>
        <w:pStyle w:val="ListParagraph"/>
        <w:numPr>
          <w:ilvl w:val="0"/>
          <w:numId w:val="10"/>
        </w:numPr>
        <w:spacing w:after="80"/>
      </w:pPr>
      <w:r>
        <w:rPr>
          <w:rFonts w:ascii="Arial" w:cs="Arial" w:eastAsia="Arial" w:hAnsi="Arial"/>
          <w:sz w:val="22"/>
          <w:szCs w:val="22"/>
        </w:rPr>
        <w:t xml:space="preserve">La formule : une acquisition ajoute son prix à la dette mais seulement prix / multiple à l'EBITDA. Elle tient sous 3x tant que prix ≤ marge / (1 − 3 / multiple).</w:t>
      </w:r>
    </w:p>
    <w:p>
      <w:pPr>
        <w:pStyle w:val="ListParagraph"/>
        <w:numPr>
          <w:ilvl w:val="0"/>
          <w:numId w:val="10"/>
        </w:numPr>
        <w:spacing w:after="80"/>
      </w:pPr>
      <w:r>
        <w:rPr>
          <w:rFonts w:ascii="Arial" w:cs="Arial" w:eastAsia="Arial" w:hAnsi="Arial"/>
          <w:sz w:val="22"/>
          <w:szCs w:val="22"/>
        </w:rPr>
        <w:t xml:space="preserve">La grille : au multiple de Clean Earth (9,8x), 2,26 Md€ en central, 0,00 en défavorable, 5,03 Md€ en favorable ; à 8x, 2,51 Md€ ; à 12x, 2,09 Md€ en central.</w:t>
      </w:r>
    </w:p>
    <w:p>
      <w:pPr>
        <w:pStyle w:val="ListParagraph"/>
        <w:numPr>
          <w:ilvl w:val="0"/>
          <w:numId w:val="10"/>
        </w:numPr>
        <w:spacing w:after="80"/>
      </w:pPr>
      <w:r>
        <w:rPr>
          <w:rFonts w:ascii="Arial" w:cs="Arial" w:eastAsia="Arial" w:hAnsi="Arial"/>
          <w:sz w:val="22"/>
          <w:szCs w:val="22"/>
        </w:rPr>
        <w:t xml:space="preserve">Le calibrage : Clean Earth ne passerait plus. Quatre multiples circulent pour lui : 19,3x sur l'EBITDA 2025 publié par le vendeur (reconstitué, onglet Booster §E), 15,0x sur l'EBITDA 2026E avant synergies, 9,8x publié après synergies (non recalculable : 9,4x avec les chiffres publiés), et 18,6x l'EBITDA ajusté des douze derniers mois selon Enviri (document à verser).</w:t>
      </w:r>
    </w:p>
    <w:p>
      <w:pPr>
        <w:pStyle w:val="ListParagraph"/>
        <w:numPr>
          <w:ilvl w:val="0"/>
          <w:numId w:val="10"/>
        </w:numPr>
        <w:spacing w:after="80"/>
      </w:pPr>
      <w:r>
        <w:rPr>
          <w:rFonts w:ascii="Arial" w:cs="Arial" w:eastAsia="Arial" w:hAnsi="Arial"/>
          <w:sz w:val="22"/>
          <w:szCs w:val="22"/>
        </w:rPr>
        <w:t xml:space="preserve">Les critères de cible : actifs de traitement (pas de collecte seule), géographie des boosters (États-Unis, Asie), PFAS et nouveaux polluants, taille compatible avec la grille, et pas de doublon de concurrence en Europe, où Veolia est déjà numéro un (présentation Clean Earth p.9).</w:t>
      </w:r>
    </w:p>
    <w:p>
      <w:pPr>
        <w:pStyle w:val="ListParagraph"/>
        <w:numPr>
          <w:ilvl w:val="0"/>
          <w:numId w:val="10"/>
        </w:numPr>
        <w:spacing w:after="80"/>
      </w:pPr>
      <w:r>
        <w:rPr>
          <w:rFonts w:ascii="Arial" w:cs="Arial" w:eastAsia="Arial" w:hAnsi="Arial"/>
          <w:sz w:val="22"/>
          <w:szCs w:val="22"/>
        </w:rPr>
        <w:t xml:space="preserve">L'univers : 21 cibles sourcées, toutes détenues par des fonds entrés entre 2023 et 2025 (Cibles §C). 4 ont une valeur publiée ; 3 tiennent dans la marge centrale au multiple retenu (12,81x, médiane du secteur avant synergies). Heritage-Crystal Clean : 1 021 M€ à 12,8x, tient dans 94 % des futurs (oui au central) ; Arcwood Environmental : prix non publié ; Triumvirate Environmental : 1 531 M€ à 12,8x, tient dans 73 % des futurs (oui au central) ; GFL Environmental Services : 4 982 M€ à 12,8x, tient dans 0 % des futurs ; NG Group : 800 M€ à 12,8x, tient dans 97 % des futurs (oui au central) ; Enviracore Services : prix non publié ; Enviracore Services : prix non publié ; Envisol : prix non publié ; Onterris (ex-Montrose Environmental Group) : prix non publié ; Perma-Fix Environmental Services : prix non publié ; Chemtron Corporation : prix non publié ; Cleanaway — Oils &amp; Technical Services and Health Services : prix non publié ; Daiseki Co., Ltd. : prix non publié ; Quest Resource Holding Corporation : prix non publié ; Indaver : prix non publié ; Tradebe Environmental Services : prix non publié ; Augean : prix non publié ; Enva : prix non publié ; AVR : prix non publié ; Groupe Flamme (A.R.F., Flamme Environnement, Flamme Assainissement) : prix non publié ; Activités déchets dangereux France de SUEZ (ex-SARPI cédées par Veolia) : prix non publié.</w:t>
      </w:r>
    </w:p>
    <w:p>
      <w:pPr>
        <w:pStyle w:val="ListParagraph"/>
        <w:numPr>
          <w:ilvl w:val="0"/>
          <w:numId w:val="10"/>
        </w:numPr>
        <w:spacing w:after="80"/>
      </w:pPr>
      <w:r>
        <w:rPr>
          <w:rFonts w:ascii="Arial" w:cs="Arial" w:eastAsia="Arial" w:hAnsi="Arial"/>
          <w:sz w:val="22"/>
          <w:szCs w:val="22"/>
        </w:rPr>
        <w:t xml:space="preserve">La valeur de chaque cible est la dernière publiée (la transaction qui a fait entrer le fonds), pas un prix de vente d'aujourd'hui : un fonds qui sort vend plus cher qu'il n'a acheté. La probabilité est donc un plafond.</w:t>
      </w:r>
    </w:p>
    <w:p>
      <w:pPr>
        <w:shd w:fill="FFF2A8" w:color="auto" w:val="clear"/>
        <w:spacing w:after="160" w:before="160"/>
      </w:pPr>
      <w:r>
        <w:rPr>
          <w:rFonts w:ascii="Arial" w:cs="Arial" w:eastAsia="Arial" w:hAnsi="Arial"/>
          <w:i/>
          <w:iCs/>
          <w:sz w:val="22"/>
          <w:szCs w:val="22"/>
        </w:rPr>
        <w:t xml:space="preserve">[À rédiger] 08_Livrables/texte/role-6.md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8,0x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2,51 / 5,59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9,8x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2,26 / 5,03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12,0x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2,09 / 4,65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15,0x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1,96 / 4,36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année 4</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avant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2026E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après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publié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 multiple moyen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Multiples publiés par Veolia,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7,40x à 11,00x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médiane 9,40x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EBITDA ajusté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valeur de la transaction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EBITDA 2021 attendu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valeur totale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EBITDA ajusté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EBITDA ajusté annuel attendu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synergies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années 1-2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11,11x à 17,41x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communiqués des acquéreurs, 05_Commercial_Strategy</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médiane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payé retenu pour les cibles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avant synergies face au plus cher du secteur</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au-dessus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Heritage-Crystal Clean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1 021 M€ ; 94 %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J.F. Lehman &amp; Company (fonds, depuis le 17/10/2023) ; T2 — crystal-clean-jfl-2023-07-19.html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Arcwood Environmental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 Infrastructure (fonds, depuis janvier 2024) ; T3 — arcwood-rebrand-2025-03-18.html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Triumvirate Environmental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1 531 M€ ; 73 %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Berkshire Partners et le fondateur (depuis février 2025) ; T4 — triumvirate-berkshire-2025-02-04.html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GFL Environmental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4 982 M€ ; 0 %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Apollo et BC Partners (depuis le 03/03/2025), GFL garde 44 % ; T5 — gfl-es-latham-2025-01-07.html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NG Group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 97 %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Summa Equity (fonds, depuis le 29/11/2024) ; T6 — fortum-summa-ng-group-2024-07-18.html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Enviracore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(fonds, depuis 2024) ; T7 — enviracore-lancement-2025-09-30.html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Enviracore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(fonds lower middle market, depuis le 30/09/2025) ; T8 — bizwire-2025-9-30-seaside-equity-partners-la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Envisol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Groupe Géotec (depuis le 20/02/2025), lui-même sous LBO avec Naxicap Partners, BDR Invest et Jadel ; T9 — geotec-2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Onterris (ex-Montrose Environmental Group)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Listed (NYSE: ONT) ; T10 — 0001193125-26-335022.pdf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Perma-Fix Environmental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Listed (Nasdaq: PESI) ; T11 — formars.pdf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Chemtron Corporation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Kinderhook Industries (private equity, since 2019) ; T12 —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Cleanaway — Oils &amp; Technical Services and Health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Cleanaway Waste Management Limited (ASX: CWY), under non-binding EQT Infrastructure proposal ; T13 — 072pv5zdfnn9vx.pdf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Daiseki Co., Ltd.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Listed (TSE Prime: 9793) ; T14 — print.pdf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Quest Resource Holding Corporation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Listed (Nasdaq: QRHC) ; T15 — FINAL-QRHC-1Q26-Earnings-Release-5-7-26.pdf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Indaver</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Katoen Natie (filiale) ; T16 — indaver_dzr_2025_en.pdf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Tradebe Environmental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Groupe Tradebe, privé non coté (fondé et présidé par Josep Creixell) ; T17 — tradebe-refuerza-su-presencia-en-reino-unido</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Augean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Eleia (fonds Ancala Partners et Fiera Infrastructure), depuis 2021 ; T18 — winning-bid-made-in-battle-to-acquire-waste-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Enva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 Squared Capital (ISQ Global Infrastructure Fund III), depuis 2023 ; T19 — enva-announces-agreement-to-be-acquired-by-i</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AVR</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Consortium mené par CK Infrastructure Holdings (CKI), depuis 2013 ; T20 — avr-annual-report-2024-resolve-web-1.pdf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Groupe Flamme (A.R.F., Flamme Environnement, Flamme Assainissement)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Actionnaires familiaux, sous promesse unilatérale d'achat de Séché Environnement (juin 2025) ; T21 — 25-06-cp-flamme.pdf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Activités déchets dangereux France de SUEZ (ex-SARPI cédées par Veolia)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SUEZ (depuis le 30/11/2022) ; T22 — cp-suez-reprend-essentiel-activites-secteur-</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La notation qualitative (traitement, géographie, PFAS, concurrence, passifs) est au groupe : cellules jaunes de Cibles §C.</w:t>
      </w:r>
    </w:p>
    <w:p>
      <w:pPr>
        <w:pStyle w:val="ListParagraph"/>
        <w:numPr>
          <w:ilvl w:val="0"/>
          <w:numId w:val="5"/>
        </w:numPr>
        <w:spacing w:after="80"/>
      </w:pPr>
      <w:r>
        <w:rPr>
          <w:rFonts w:ascii="Arial" w:cs="Arial" w:eastAsia="Arial" w:hAnsi="Arial"/>
          <w:sz w:val="22"/>
          <w:szCs w:val="22"/>
        </w:rPr>
        <w:t xml:space="preserve">Arcwood (incinération, PFAS) n'a pas de prix publié : la grille ne peut pas répondre pour elle sans une estimation sourcée.</w:t>
      </w:r>
    </w:p>
    <w:p>
      <w:pPr>
        <w:pStyle w:val="ListParagraph"/>
        <w:numPr>
          <w:ilvl w:val="0"/>
          <w:numId w:val="5"/>
        </w:numPr>
        <w:spacing w:after="80"/>
      </w:pPr>
      <w:r>
        <w:rPr>
          <w:rFonts w:ascii="Arial" w:cs="Arial" w:eastAsia="Arial" w:hAnsi="Arial"/>
          <w:sz w:val="22"/>
          <w:szCs w:val="22"/>
        </w:rPr>
        <w:t xml:space="preserve">La recommandation est une proposition du modèle : au groupe de la défendre ou de l'amender.</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recommander une acquisition de 3 Md€ ?</w:t>
      </w:r>
    </w:p>
    <w:p>
      <w:pPr>
        <w:spacing w:after="120" w:line="300"/>
      </w:pPr>
      <w:r>
        <w:rPr>
          <w:rFonts w:ascii="Arial" w:cs="Arial" w:eastAsia="Arial" w:hAnsi="Arial"/>
          <w:sz w:val="22"/>
          <w:szCs w:val="22"/>
        </w:rPr>
        <w:t xml:space="preserve">Parce qu'au multiple de Clean Earth elle demanderait une marge de 2 082 M€ et que le scénario central n'en dégage que 1 571, sans même compter un glissement des cessions.</w:t>
      </w:r>
    </w:p>
    <w:p>
      <w:pPr>
        <w:spacing w:after="120" w:line="300"/>
      </w:pPr>
      <w:r>
        <w:rPr>
          <w:rFonts w:ascii="Arial" w:cs="Arial" w:eastAsia="Arial" w:hAnsi="Arial"/>
          <w:b/>
          <w:bCs/>
          <w:sz w:val="22"/>
          <w:szCs w:val="22"/>
        </w:rPr>
        <w:t xml:space="preserve">Que paie Veolia d'habitude, et que paie le secteur ?</w:t>
      </w:r>
    </w:p>
    <w:p>
      <w:pPr>
        <w:spacing w:after="120" w:line="300"/>
      </w:pPr>
      <w:r>
        <w:rPr>
          <w:rFonts w:ascii="Arial" w:cs="Arial" w:eastAsia="Arial" w:hAnsi="Arial"/>
          <w:sz w:val="22"/>
          <w:szCs w:val="22"/>
        </w:rPr>
        <w:t xml:space="preserve">Veolia publie ses multiples après synergies : 7,4x pour treize tuck-ins espagnols, environ 9x pour les tuck-ins 2025, 9,40x en médiane, 11,00x au plus (le rachat des 30 % de WTS). Le secteur, avant synergies : 11,11x à 17,41x (HEPACO et EnviroServe par Clean Harbors, Covanta par EQT, US Ecology par Republic) ; HEPACO ressort à 7,1x après synergies, EnviroServe et ES&amp;H à 8,9x. Clean Earth avant synergies reste 2,41x sous le plus cher du secteur (Clean Harbors → EnviroServe (2026)) : les synergies « achètent » 5,20x de multiple. D'où la grille : 8x, 9,8x, 12x.</w:t>
      </w:r>
    </w:p>
    <w:p>
      <w:pPr>
        <w:spacing w:after="120" w:line="300"/>
      </w:pPr>
      <w:r>
        <w:rPr>
          <w:rFonts w:ascii="Arial" w:cs="Arial" w:eastAsia="Arial" w:hAnsi="Arial"/>
          <w:b/>
          <w:bCs/>
          <w:sz w:val="22"/>
          <w:szCs w:val="22"/>
        </w:rPr>
        <w:t xml:space="preserve">Quelles cibles regardez-vous ?</w:t>
      </w:r>
    </w:p>
    <w:p>
      <w:pPr>
        <w:spacing w:after="120" w:line="300"/>
      </w:pPr>
      <w:r>
        <w:rPr>
          <w:rFonts w:ascii="Arial" w:cs="Arial" w:eastAsia="Arial" w:hAnsi="Arial"/>
          <w:sz w:val="22"/>
          <w:szCs w:val="22"/>
        </w:rPr>
        <w:t xml:space="preserve">21 cibles réelles, détenues par des fonds : Heritage-Crystal Clean : 1 021 M€ à 12,8x, tient dans 94 % des futurs (oui au central) ; Arcwood Environmental : prix non publié ; Triumvirate Environmental : 1 531 M€ à 12,8x, tient dans 73 % des futurs (oui au central) ; GFL Environmental Services : 4 982 M€ à 12,8x, tient dans 0 % des futurs ; NG Group : 800 M€ à 12,8x, tient dans 97 % des futurs (oui au central) ; Enviracore Services : prix non publié ; Enviracore Services : prix non publié ; Envisol : prix non publié ; Onterris (ex-Montrose Environmental Group) : prix non publié ; Perma-Fix Environmental Services : prix non publié ; Chemtron Corporation : prix non publié ; Cleanaway — Oils &amp; Technical Services and Health Services : prix non publié ; Daiseki Co., Ltd. : prix non publié ; Quest Resource Holding Corporation : prix non publié ; Indaver : prix non publié ; Tradebe Environmental Services : prix non publié ; Augean : prix non publié ; Enva : prix non publié ; AVR : prix non publié ; Groupe Flamme (A.R.F., Flamme Environnement, Flamme Assainissement) : prix non publié ; Activités déchets dangereux France de SUEZ (ex-SARPI cédées par Veolia) : prix non publié. Au multiple médian du secteur (12,81x), 3 tiennent dans la marge centrale, la plus grande pour 1 531 M€. Les valeurs sont celles de l'entrée du fonds : un vendeur demandera plus.</w:t>
      </w:r>
    </w:p>
    <w:p>
      <w:pPr>
        <w:spacing w:after="120" w:line="300"/>
      </w:pPr>
      <w:r>
        <w:rPr>
          <w:rFonts w:ascii="Arial" w:cs="Arial" w:eastAsia="Arial" w:hAnsi="Arial"/>
          <w:b/>
          <w:bCs/>
          <w:sz w:val="22"/>
          <w:szCs w:val="22"/>
        </w:rPr>
        <w:t xml:space="preserve">Et si Veolia veut quand même une cible de 3 Md€ ?</w:t>
      </w:r>
    </w:p>
    <w:p>
      <w:pPr>
        <w:spacing w:after="120" w:line="300"/>
      </w:pPr>
      <w:r>
        <w:rPr>
          <w:rFonts w:ascii="Arial" w:cs="Arial" w:eastAsia="Arial" w:hAnsi="Arial"/>
          <w:sz w:val="22"/>
          <w:szCs w:val="22"/>
        </w:rPr>
        <w:t xml:space="preserve">Le menu de financement (onglet Financement) le chiffre : il manque 511 M€ sous 3x fin 2027, rien sous le seuil S&amp;P. Les hybrides comblent l'écart pour 22 M€ de coupon par an, mais les agences n'en retiennent que la moitié ; des cessions accélérées demandent 730 M€ et coûtent 73 M€ d'EBITDA récurrent ; du capital, 2,4 % de dilution. La vraie question est le prix accepté pour la taille.</w:t>
      </w:r>
    </w:p>
    <w:p>
      <w:pPr>
        <w:spacing w:after="120" w:line="300"/>
      </w:pPr>
      <w:r>
        <w:rPr>
          <w:rFonts w:ascii="Arial" w:cs="Arial" w:eastAsia="Arial" w:hAnsi="Arial"/>
          <w:b/>
          <w:bCs/>
          <w:sz w:val="22"/>
          <w:szCs w:val="22"/>
        </w:rPr>
        <w:t xml:space="preserve">Quelle hypothèse ferait tomber vos conclusions ?</w:t>
      </w:r>
    </w:p>
    <w:p>
      <w:pPr>
        <w:spacing w:after="120" w:line="300"/>
      </w:pPr>
      <w:r>
        <w:rPr>
          <w:rFonts w:ascii="Arial" w:cs="Arial" w:eastAsia="Arial" w:hAnsi="Arial"/>
          <w:sz w:val="22"/>
          <w:szCs w:val="22"/>
        </w:rPr>
        <w:t xml:space="preserve">Aucune seule, dans ses bornes : 0 hypothèse ne renverse une conclusion sans sortir de sa fourchette (onglet Financement §D, chaque seuil vérifié en le remettant dans le moteur). Pour une cible de 3 Md€, il faudrait une croissance 2026 de 7,7 % ou un multiple sous 6,7x.</w:t>
      </w:r>
    </w:p>
    <w:p>
      <w:pPr>
        <w:spacing w:after="120" w:line="300"/>
      </w:pPr>
      <w:r>
        <w:rPr>
          <w:rFonts w:ascii="Arial" w:cs="Arial" w:eastAsia="Arial" w:hAnsi="Arial"/>
          <w:b/>
          <w:bCs/>
          <w:sz w:val="22"/>
          <w:szCs w:val="22"/>
        </w:rPr>
        <w:t xml:space="preserve">Quel multiple retenez-vous ?</w:t>
      </w:r>
    </w:p>
    <w:p>
      <w:pPr>
        <w:spacing w:after="120" w:line="300"/>
      </w:pPr>
      <w:r>
        <w:rPr>
          <w:rFonts w:ascii="Arial" w:cs="Arial" w:eastAsia="Arial" w:hAnsi="Arial"/>
          <w:sz w:val="22"/>
          <w:szCs w:val="22"/>
        </w:rPr>
        <w:t xml:space="preserve">Pour la capacité, celui de Clean Earth après synergies, parce que c'est le seul qu'un acheteur comme Veolia ait publié. Plus le multiple monte, plus la taille possible baisse : à 12x, 2,09 Md€. Pour noter une cible réelle, la médiane du secteur avant synergies (12,81x) : la dette arrive le jour du paiement, les synergies après fin 2027.</w:t>
      </w:r>
    </w:p>
    <w:p>
      <w:pPr>
        <w:spacing w:after="120" w:line="300"/>
      </w:pPr>
      <w:r>
        <w:rPr>
          <w:rFonts w:ascii="Arial" w:cs="Arial" w:eastAsia="Arial" w:hAnsi="Arial"/>
          <w:b/>
          <w:bCs/>
          <w:sz w:val="22"/>
          <w:szCs w:val="22"/>
        </w:rPr>
        <w:t xml:space="preserve">Et si le programme de cessions glisse ?</w:t>
      </w:r>
    </w:p>
    <w:p>
      <w:pPr>
        <w:spacing w:after="120" w:line="300"/>
      </w:pPr>
      <w:r>
        <w:rPr>
          <w:rFonts w:ascii="Arial" w:cs="Arial" w:eastAsia="Arial" w:hAnsi="Arial"/>
          <w:sz w:val="22"/>
          <w:szCs w:val="22"/>
        </w:rPr>
        <w:t xml:space="preserve">Sans encaissement du reste du programme en 2027, la marge baisse de 478 M€ et la taille possible au multiple de Clean Earth tombe à environ 1,57 Md€. La recommandation conditionne toute opération à l'encaissement des cessions.</w:t>
      </w:r>
    </w:p>
    <w:p>
      <w:r>
        <w:br w:type="page"/>
      </w:r>
    </w:p>
    <w:p>
      <w:pPr>
        <w:pStyle w:val="Heading1"/>
        <w:spacing w:after="120" w:before="240"/>
      </w:pPr>
      <w:r>
        <w:rPr>
          <w:rFonts w:ascii="Arial" w:cs="Arial" w:eastAsia="Arial" w:hAnsi="Arial"/>
        </w:rPr>
        <w:t xml:space="preserve">La fourchette de capacité, pour les autres périmètres</w:t>
      </w:r>
    </w:p>
    <w:p>
      <w:pPr>
        <w:spacing w:after="120" w:line="300"/>
      </w:pPr>
      <w:r>
        <w:rPr>
          <w:rFonts w:ascii="Arial" w:cs="Arial" w:eastAsia="Arial" w:hAnsi="Arial"/>
          <w:sz w:val="22"/>
          <w:szCs w:val="22"/>
        </w:rPr>
        <w:t xml:space="preserve">Le nombre que les groupes « technologies de l'eau », « déchets dangereux » et « bioénergie » doivent respecter, dans ses trois scénarios et sous ses deux plafonds.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1600"/>
        <w:gridCol w:w="1600"/>
        <w:gridCol w:w="1600"/>
      </w:tblGrid>
      <w:tr>
        <w:trPr>
          <w:tblHeader/>
        </w:trPr>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Fin 2027</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Défavorable</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Central</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Favorable</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levier ≤ 3x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−535</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3 491</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seuil S&amp;P 18 % FFO / dette ajustée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4 333</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7 355</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Contrainte qui mord en premier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maximale au multiple de Clean Earth (9,8x),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2 264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5 871</w:t>
            </w:r>
          </w:p>
        </w:tc>
      </w:tr>
    </w:tbl>
    <w:p>
      <w:pPr>
        <w:pStyle w:val="Heading2"/>
        <w:spacing w:after="120" w:before="240"/>
      </w:pPr>
      <w:r>
        <w:rPr>
          <w:rFonts w:ascii="Arial" w:cs="Arial" w:eastAsia="Arial" w:hAnsi="Arial"/>
        </w:rPr>
        <w:t xml:space="preserve">Ce qu'il reste à faire avant la remise</w:t>
      </w:r>
    </w:p>
    <w:p>
      <w:pPr>
        <w:pStyle w:val="ListParagraph"/>
        <w:numPr>
          <w:ilvl w:val="0"/>
          <w:numId w:val="5"/>
        </w:numPr>
        <w:spacing w:after="80"/>
      </w:pPr>
      <w:r>
        <w:rPr>
          <w:rFonts w:ascii="Arial" w:cs="Arial" w:eastAsia="Arial" w:hAnsi="Arial"/>
          <w:sz w:val="22"/>
          <w:szCs w:val="22"/>
        </w:rPr>
        <w:t xml:space="preserve">Relire en croisé les 670 chiffres du registre (0 relus) et les 58 opérations (0 relues).</w:t>
      </w:r>
    </w:p>
    <w:p>
      <w:pPr>
        <w:pStyle w:val="ListParagraph"/>
        <w:numPr>
          <w:ilvl w:val="0"/>
          <w:numId w:val="5"/>
        </w:numPr>
        <w:spacing w:after="80"/>
      </w:pPr>
      <w:r>
        <w:rPr>
          <w:rFonts w:ascii="Arial" w:cs="Arial" w:eastAsia="Arial" w:hAnsi="Arial"/>
          <w:sz w:val="22"/>
          <w:szCs w:val="22"/>
        </w:rPr>
        <w:t xml:space="preserve">Lire les 10-K 2025 d'Enviri et de Clean Harbors, désormais dans la dataroom, et en tirer les chiffres des rôles 4 et 5 (passifs environnementaux de Clean Earth, marges et levier de Clean Harbors). Reste à verser : le 10-Q du T1 2026 d'Enviri et le communiqué de vente du 20 novembre 2025.</w:t>
      </w:r>
    </w:p>
    <w:p>
      <w:pPr>
        <w:pStyle w:val="ListParagraph"/>
        <w:numPr>
          <w:ilvl w:val="0"/>
          <w:numId w:val="5"/>
        </w:numPr>
        <w:spacing w:after="80"/>
      </w:pPr>
      <w:r>
        <w:rPr>
          <w:rFonts w:ascii="Arial" w:cs="Arial" w:eastAsia="Arial" w:hAnsi="Arial"/>
          <w:sz w:val="22"/>
          <w:szCs w:val="22"/>
        </w:rPr>
        <w:t xml:space="preserve">Avant le 7 octobre : montrer la dataroom comme « sources chargées et lues », et noter dans gaps.md ce qui manque encore.</w:t>
      </w:r>
    </w:p>
    <w:p>
      <w:pPr>
        <w:pStyle w:val="ListParagraph"/>
        <w:numPr>
          <w:ilvl w:val="0"/>
          <w:numId w:val="5"/>
        </w:numPr>
        <w:spacing w:after="80"/>
      </w:pPr>
      <w:r>
        <w:rPr>
          <w:rFonts w:ascii="Arial" w:cs="Arial" w:eastAsia="Arial" w:hAnsi="Arial"/>
          <w:sz w:val="22"/>
          <w:szCs w:val="22"/>
        </w:rPr>
        <w:t xml:space="preserve">Rédiger la page d'annexe sur les outils d'IA : dataroom MCP (recherche, registre, contrôles), Claude pour construire le classeur et ces dossiers, LibreOffice pour le recalcul. Aucun chiffre produit par le modèle de langage.</w:t>
      </w:r>
    </w:p>
    <w:p>
      <w:pPr>
        <w:pStyle w:val="ListParagraph"/>
        <w:numPr>
          <w:ilvl w:val="0"/>
          <w:numId w:val="5"/>
        </w:numPr>
        <w:spacing w:after="80"/>
      </w:pPr>
      <w:r>
        <w:rPr>
          <w:rFonts w:ascii="Arial" w:cs="Arial" w:eastAsia="Arial" w:hAnsi="Arial"/>
          <w:sz w:val="22"/>
          <w:szCs w:val="22"/>
        </w:rPr>
        <w:t xml:space="preserve">Noter les 21 cibles de l'onglet Cibles §C (cellules jaunes) et chercher une valeur sourcée pour celles qui n'en ont pas.</w:t>
      </w:r>
    </w:p>
    <w:p>
      <w:pPr>
        <w:pStyle w:val="ListParagraph"/>
        <w:numPr>
          <w:ilvl w:val="0"/>
          <w:numId w:val="5"/>
        </w:numPr>
        <w:spacing w:after="80"/>
      </w:pPr>
      <w:r>
        <w:rPr>
          <w:rFonts w:ascii="Arial" w:cs="Arial" w:eastAsia="Arial" w:hAnsi="Arial"/>
          <w:sz w:val="22"/>
          <w:szCs w:val="22"/>
        </w:rPr>
        <w:t xml:space="preserve">Chacun ouvre son rôle avec l'outil workstream_status de la dataroom pour voir ses chiffres et ce qui manque.</w:t>
      </w:r>
    </w:p>
    <w:p>
      <w:r>
        <w:br w:type="page"/>
      </w:r>
    </w:p>
    <w:p>
      <w:pPr>
        <w:pStyle w:val="Heading1"/>
        <w:spacing w:after="120" w:before="240"/>
      </w:pPr>
      <w:r>
        <w:rPr>
          <w:rFonts w:ascii="Arial" w:cs="Arial" w:eastAsia="Arial" w:hAnsi="Arial"/>
        </w:rPr>
        <w:t xml:space="preserve">Annexe A — Registre des chiffres cités</w:t>
      </w:r>
    </w:p>
    <w:p>
      <w:pPr>
        <w:spacing w:after="120" w:line="300"/>
      </w:pPr>
      <w:r>
        <w:rPr>
          <w:rFonts w:ascii="Arial" w:cs="Arial" w:eastAsia="Arial" w:hAnsi="Arial"/>
          <w:sz w:val="18"/>
          <w:szCs w:val="18"/>
        </w:rPr>
        <w:t xml:space="preserve">670 chiffres, chacun avec le fichier joint, la page, l'URL d'origine et la date de consultation. « Relu par » vide : un seul membre a lu la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000"/>
        <w:gridCol w:w="900"/>
        <w:gridCol w:w="3326"/>
        <w:gridCol w:w="400"/>
        <w:gridCol w:w="400"/>
      </w:tblGrid>
      <w:tr>
        <w:trPr>
          <w:tblHeader/>
        </w:trPr>
        <w:tc>
          <w:tcPr>
            <w:tcW w:type="dxa" w:w="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2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33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Citation</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Rôle</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3 552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rotation NETTE d'actifs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GreenUp : dette financière nette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(titres super-subordonnés),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 après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 hors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 https://www.veolia.com/sites/g/files/dvc4206/files/document/2026/05/Operating_and_financial_review_consolidated_financial_statements_Q1_2026.pdf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 titre de 2024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continues d'actifs non stratégiques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3 367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levier 2026 : égal ou légèrement supérieur à,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à réaliser d'ici mi-2028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9 332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proposé au titre de 2025</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(Mexique,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de cessions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9,181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 déchets dangereux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1,189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2 989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réhabilitation de sites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risques environnementaux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(réhabilitation, démantèlement)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segment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 (équivalent)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multiple VE / EBITDA 2026e après synergies en régime de croisière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de coûts en régime de croisière, année 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coûts de mise en œuvre attendus des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(ajusté, post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conversion FCF / EBITDA,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autour ou légèrement au-dessus de, selon le calendrier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levier égal ou légèrement supérieur à 3x en fin d'année, Clean Earth inclus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chiffre d'affaires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marge d'EBITDA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GreenUp relevée : croissance annuelle de l'EBITDA déchets dangereux,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ajoutée par 5 usines de traitement en construction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émission de la première obligation hybride verte (nette) — réduit la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augmentation de capital Sequoia 2025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réduction de capital par annulation d'actions rachetées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effet de change et de juste valeur (favorable)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20,764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2025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 approuvé par l'AG du 23 avril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Enviropacific Services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variation des créances et autres 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autres mouvements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retraitement des passifs financiers (PPA Suez)</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industriels nets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moyen pondéré d'actions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731,697,339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de maintenance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sur contrats existants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industrielles, moins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 (affectation du prix non réalisée au 30/06/2026)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démantèlement d'installations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des provisions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sites spécialisés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permis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permis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2024-2027 dans les boosters (« 2 x Impact 2023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à investir dans les strongholds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déjà réalisée depuis le début de GreenUp,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nouvelles d'actifs matures dans les 2 ans après la clôture de Clean Earth,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totale GreenUp avec Clean Earth et le plan de cessions,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dans les boosters,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hors d'Europe,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2024 (cessions SADE, RGS, Lydec, Haikou ; achat Hofmann)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2025e (déchets dangereux US, WTS minoritaires…)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investissements financiers nets des cessions (entrée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remboursement de dette hybride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augmentation de capital Sequoia 2024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seuil de dégradation, FFO / dette nette sous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high teens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condition de relèvement, FFO / dette nette dans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low-to-mid 20s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 EBITDA ajustés (grille de notation)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levier net selon la définition de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cessions envisagées d'actifs non stratégiques ou matures,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du segment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part des déchets dangereux dans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déchets dangereux pro forma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seuil de dégradation, FFO / dette ajustés durablement sous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11,945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13,191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(scope 4), base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13.45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1.574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 objectif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191,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(et non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 objectif cumulé relevé (initial 500)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finance_operating_and_financial_review_2024.pdf, p. 18, https://www.veolia.com/sites/g/files/dvc4206/files/document/2025/02/Finance_Operating_and_financial_review_2024.pdf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92.6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dépréciation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39,778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amortissement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23,644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actifs totaux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1,036,916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prix de cession de Clean Earth à Veolia,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covenant dette nette / EBITDA ajusté après la vente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38,256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5,193,290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837,361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1,343,776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137,454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6,030.8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1,169,939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 d'EBITDA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chiffre d'affaires bioénergie, flexibilité, efficacité énergétique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ambition de chiffre d'affaires bioénergie, flexibilité, efficacité énergétique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135,328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dépollution (remedial)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95,369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totaux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230,697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trésorerie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826,315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titres de placement court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dette long terme hors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2,763,563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part courante de la dette long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12,600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intérêts) / intérêts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 (as reported debt)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pensions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titrisation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1,014.0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ajustements non standard</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34,879.0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trésorerie retenue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25,404.0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23,273.0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1,800.0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publié selon Moody's (as reported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6,464.0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 (y compris minoritaires et hybrides)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(retained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cash-flow opérationnel (CFO)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free cash flow (après dividendes 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charge d'intérêts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Actifs liquides et actifs liés au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Juste valeur des dérivés de couverture de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F260-1175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F261-adbb</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F262-be63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F263-9c0d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F264-79b1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F265-b673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F266-5358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29,085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F267-af42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F268-a1f9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F269-d934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F270-167d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F271-543e</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09/06/2026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F272-40a3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30/11/2026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F273-8f68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Émissions obligataires de l'exercice (souscriptions)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F274-d310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obligataires de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F275-5e72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F276-facd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9 (GBP), échéance 02/12/2030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Souches EMTN : nominal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13,831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non courants : valeur nette comptable totale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Billets de trésorerie (commercial paper) de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4,933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Titres super-subordonnés dont le remboursement est notifié, payés le 09/02/2026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courus sur la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 de billets de trésorerie sur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1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2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4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de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Loyers de la période (remboursements, intérêts, loyers variables)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6,144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réduction de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non tirée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MT non tirées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des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34, échéance 04/01/2029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19, échéance 03/04/2029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13, échéance 21/05/2029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38, échéance 07/01/2030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15, échéance 01/07/2030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21, échéance 17/09/2030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22,265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2,422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courantes, découverts bancaires et autres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17,792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 échéance après prolongation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2030 année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échéance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de l'EBITDA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gains d'efficacité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de coûts attendues en 2024-2025,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Suez cumulées 2022-2025 confirmées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annuels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hors prix de l'énergie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du chiffre d'affaires tuck-ins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du chiffre d'affaires hors prix de l'énergie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11,226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nombre de tuck-ins intégrés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totale des tuck-ins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gains d'efficacité et synergies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Clean Earth inclus,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30,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44,396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France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États-Unis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Allemagne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Espagne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Pologne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Royaume-Uni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République tchèque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Australie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Italie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Chili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Japon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 Kong</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Slovaquie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autres pays (moins de 500 M EUR chacun)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montant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multiple moyen VE / EBITDA,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rachat des 30 % : multiple VE / EBITDA 2025e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 https://www.veolia.com/sites/g/files/dvc4206/files/document/2025/05/Finance_Veolia_Q1_presentation_2025.pdf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dette nette comprise dans la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synergies annuelles attendues,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2023,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chiffre d'affaires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attendu en 2024,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multiple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valeur de la transaction, dette comprise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valeur totale, dette nette comprise,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EBITDA ajusté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chiffre d'affaires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synergies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à 3 ans</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Baa2 Negative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Veolia,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actif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coût de l'endettement financier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euros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dollars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fixe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variable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Position nette à taux variable après couverture (passif)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dollars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euros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 change sur les obligations en dollars (conversion au cours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(énergie, recyclats)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22,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encours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coupon jusqu'à la première date de réinitialisation (04/2029)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coupon jusqu'à la première date de réinitialisation (09/2026)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coupon jusqu'à la première date de réinitialisation (02/2028)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coupon jusqu'à la première date de réinitialisation (02/2029)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coupon jusqu'à la première date de réinitialisation (08/2030)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4.371 %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coupon jusqu'à la première date de réinitialisation (01/2033)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première tranche remboursée en février 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visé,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levier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visé,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visés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réalisés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visée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gains d'efficacité,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cumulées 2022-2025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attendues dans l'année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du résultat net courant,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Résultat net courant 2025 : croissance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Cours de clôture de l'action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29.38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d'actions composant le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741,723,437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Capital social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3,708,617,185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Actions autodétenues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10,438,730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EBITDA ajusté annuel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chiffre d'affaires annuel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années 1-2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prix combiné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775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EBITDA ajusté annuel combiné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multiple combiné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ES&amp;H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clean-harbors-q2-2026-2026-07-29.html, p. 1, https://www.stocktitan.net/news/CLH/clean-harbors-announces-second-quarter-2026-financial-i7hymqt5jls0.html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Heritage-Crystal Clean (J.F. Lehman) : valorisation de la transaction,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crystal-clean-jfl-2023-07-19.html, p. 1, https://www.crystal-clean.com/heritage-crystal-clean-inc-to-be-acquired-by-j-f-lehman-company-for-1-2-billion/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Heritage-Crystal Clean (J.F. Lehman)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45.50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crystal-clean-jfl-2023-07-19.html, p. 1, https://www.crystal-clean.com/heritage-crystal-clean-inc-to-be-acquired-by-j-f-lehman-company-for-1-2-billion/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Fortum Recycling and Waste (NG Group, Summa Equity) : prix, dette et trésorerie exclues,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fortum-summa-ng-group-2024-07-18.html, p. 1, https://news.cision.com/summa-equity/r/summa-equity-through-ng-group-acquires-fortum-recycling-and-waste,c4035069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Triumvirate Environmental (Berkshire Partners) : valorisation après 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triumvirate-berkshire-2025-02-04.html, p. 1, https://ca.finance.yahoo.com/news/triumvirate-environmental-valued-1-8-132050079.html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 Environmental Services (Apollo, BC Partners)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Md CAD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gfl-es-latham-2025-01-07.html, p. 1, https://www.lw.com/en/news/2025/01/latham-watkins-advises-gfl-environmental-inc-on-sale-of-environmental-services-business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 Environmental Services : participation conservée par GFL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Md CAD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gfl-es-latham-2025-01-07.html, p. 1, https://www.lw.com/en/news/2025/01/latham-watkins-advises-gfl-environmental-inc-on-sale-of-environmental-services-business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Taux de référence BCE : dollars canadiens pour un euro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1.6058 CAD pour 1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06/10/2026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bce-taux-eur-cad-2026-10-06.html, p. 1, https://www.ecb.europa.eu/stats/policy_and_exchange_rates/euro_reference_exchange_rates/html/eurofxref-graph-cad.en.html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 EBITDA visé pour une plateforme (fonds Flagship),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critères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seaside-criteres-2026-10-07.html, p. 1, https://www.seasideequity.com/investment-criteria (consulté le 2026-10-07)</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 EBITDA visé pour une plateforme (fonds Flagship),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critères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seaside-criteres-2026-10-07.html, p. 1, https://www.seasideequity.com/investment-criteria (consulté le 2026-10-07)</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EMI (Enviracore) : salariés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salariés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2019</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emi-entretien-2019-01-31.html, p. 1, http://podcast.madepossibleby.us/blog/2019/1/31/environmental-management-services-from-a-garage-startup-to-guthries-business-of-the-year (consulté le 2026-10-07)</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salariés,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salariés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implantations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10,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GreenUp : dette financière nette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10,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États-Unis : part de l'EBITDA du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12,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10,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États-Unis (Veolia),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0.8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12,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États-Unis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12,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10,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Incinération commerciale : carnet de commandes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45,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Marché américain accessible des déchets dangereux : croissance annuelle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45,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 États-Unis, déchets dangereux : croissance annuelle moyenne du chiffre d'affaires 2019-2023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2019-2023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44,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Marché américain accessible des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45,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part du chiffre d'affaires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Water Technologies,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56,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56,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56,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visé,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76,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proposé au titre de 2024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1.40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annuels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70,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70,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PFAS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8,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10,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10,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9,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9,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de levier 2025 (ratio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de croissance (growth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gains d'efficacité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13,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10,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 Lydec : effet sur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24,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27,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moyen total du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27,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22,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29,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en Allemagne : effet sur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24,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Capex de croissance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29,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 Sade : effet sur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24,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 RGS : effet sur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24,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industrielles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29,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20,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 croissance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22,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Résultat net courant par action, part du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27,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Capex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29,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de septembre 2024, tranche 10 ans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31,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de septembre 2024, tranche 10 ans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3.571 %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31,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31,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r>
        <w:br w:type="page"/>
      </w:r>
    </w:p>
    <w:p>
      <w:pPr>
        <w:pStyle w:val="Heading1"/>
        <w:spacing w:after="120" w:before="240"/>
      </w:pPr>
      <w:r>
        <w:rPr>
          <w:rFonts w:ascii="Arial" w:cs="Arial" w:eastAsia="Arial" w:hAnsi="Arial"/>
        </w:rPr>
        <w:t xml:space="preserve">Annexe B — Outils d'intelligence artificielle utilisés</w:t>
      </w:r>
    </w:p>
    <w:p>
      <w:pPr>
        <w:pStyle w:val="ListParagraph"/>
        <w:numPr>
          <w:ilvl w:val="0"/>
          <w:numId w:val="5"/>
        </w:numPr>
        <w:spacing w:after="80"/>
      </w:pPr>
      <w:r>
        <w:rPr>
          <w:rFonts w:ascii="Arial" w:cs="Arial" w:eastAsia="Arial" w:hAnsi="Arial"/>
          <w:sz w:val="22"/>
          <w:szCs w:val="22"/>
        </w:rPr>
        <w:t xml:space="preserve">Dataroom : un serveur MCP (Model Context Protocol) privé au groupe, qui indexe les documents publics versés dans le vault et ne sait que chercher, lire une page et citer (fichier, page, URL, date de consultation). Il ne calcule rien ; il garde pour chaque ligne du registre qui l'a saisie et qui l'a relue. Les résumés de pages que l'API Claude a écrits pour la recherche sont signalés comme tels dans chaque résultat et ne sont jamais cités.</w:t>
      </w:r>
    </w:p>
    <w:p>
      <w:pPr>
        <w:pStyle w:val="ListParagraph"/>
        <w:numPr>
          <w:ilvl w:val="0"/>
          <w:numId w:val="5"/>
        </w:numPr>
        <w:spacing w:after="80"/>
      </w:pPr>
      <w:r>
        <w:rPr>
          <w:rFonts w:ascii="Arial" w:cs="Arial" w:eastAsia="Arial" w:hAnsi="Arial"/>
          <w:sz w:val="22"/>
          <w:szCs w:val="22"/>
        </w:rPr>
        <w:t xml:space="preserve">Le registre compte 670 chiffres et 58 opérations. 678 lignes y ont été saisies par Claude (Anthropic) à travers le compte partagé du serveur, en recopiant le nombre imprimé sur une page indexée dont le fichier et le numéro sont cités ; 50 lignes par l'API Claude (lecture de chaque page du vault, sous l'identité claude-api, avec un contrôle automatique que le nombre et sa citation sont sur la page) ; 0 ligne par les membres du groupe avec leur compte personnel. 0 ligne sur 728 ont été relues sur la page citée par un membre autre que leur auteur ; 728 ne l'ont pas encore été. Le rapport signale d'un « † » chaque chiffre cité qui n'a pas de second lecteur.</w:t>
      </w:r>
    </w:p>
    <w:p>
      <w:pPr>
        <w:pStyle w:val="ListParagraph"/>
        <w:numPr>
          <w:ilvl w:val="0"/>
          <w:numId w:val="5"/>
        </w:numPr>
        <w:spacing w:after="80"/>
      </w:pPr>
      <w:r>
        <w:rPr>
          <w:rFonts w:ascii="Arial" w:cs="Arial" w:eastAsia="Arial" w:hAnsi="Arial"/>
          <w:sz w:val="22"/>
          <w:szCs w:val="22"/>
        </w:rPr>
        <w:t xml:space="preserve">Claude, via Claude Code, a aussi construit le serveur, les contrôles automatiques (`audit_dataroom`), le générateur du classeur Excel (`build_model.py`), celui des dossiers et celui de ce rapport. Le classeur ne contient que des formules ; ses entrées sont les lignes du registre.</w:t>
      </w:r>
    </w:p>
    <w:p>
      <w:pPr>
        <w:pStyle w:val="ListParagraph"/>
        <w:numPr>
          <w:ilvl w:val="0"/>
          <w:numId w:val="5"/>
        </w:numPr>
        <w:spacing w:after="80"/>
      </w:pPr>
      <w:r>
        <w:rPr>
          <w:rFonts w:ascii="Arial" w:cs="Arial" w:eastAsia="Arial" w:hAnsi="Arial"/>
          <w:sz w:val="22"/>
          <w:szCs w:val="22"/>
        </w:rPr>
        <w:t xml:space="preserve">LibreOffice (recalcul sans interface) : recalcule le classeur après chaque génération et signale toute erreur de formule ; aucune valeur calculée n'est saisie à la main.</w:t>
      </w:r>
    </w:p>
    <w:p>
      <w:pPr>
        <w:pStyle w:val="ListParagraph"/>
        <w:numPr>
          <w:ilvl w:val="0"/>
          <w:numId w:val="5"/>
        </w:numPr>
        <w:spacing w:after="80"/>
      </w:pPr>
      <w:r>
        <w:rPr>
          <w:rFonts w:ascii="Arial" w:cs="Arial" w:eastAsia="Arial" w:hAnsi="Arial"/>
          <w:sz w:val="22"/>
          <w:szCs w:val="22"/>
        </w:rPr>
        <w:t xml:space="preserve">Règle tenue : aucun nombre n'a été inventé ni calculé par un modèle de langage. Chaque nombre du registre est recopié d'une page publique citée ; chaque nombre du classeur est une formule sur ces lignes.</w:t>
      </w:r>
    </w:p>
    <w:p>
      <w:pPr>
        <w:shd w:fill="FFF2A8" w:color="auto" w:val="clear"/>
        <w:spacing w:after="160" w:before="160"/>
      </w:pPr>
      <w:r>
        <w:rPr>
          <w:rFonts w:ascii="Arial" w:cs="Arial" w:eastAsia="Arial" w:hAnsi="Arial"/>
          <w:i/>
          <w:iCs/>
          <w:sz w:val="22"/>
          <w:szCs w:val="22"/>
        </w:rPr>
        <w:t xml:space="preserve">[À rédiger] 08_Livrables/texte/outils-ia.md : ce que le groupe a décidé sans l'outil, les cas où l'outil a été contredit après lecture, puis un tableau membre / outil / usage / période.</w:t>
      </w:r>
    </w:p>
    <w:p>
      <w:r>
        <w:br w:type="page"/>
      </w:r>
    </w:p>
    <w:p>
      <w:pPr>
        <w:pStyle w:val="Heading1"/>
        <w:spacing w:after="120" w:before="240"/>
      </w:pPr>
      <w:r>
        <w:rPr>
          <w:rFonts w:ascii="Arial" w:cs="Arial" w:eastAsia="Arial" w:hAnsi="Arial"/>
        </w:rPr>
        <w:t xml:space="preserve">Contrôle des citations (retiré de la version finale)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1500"/>
        <w:gridCol w:w="1500"/>
        <w:gridCol w:w="1500"/>
        <w:gridCol w:w="1500"/>
      </w:tblGrid>
      <w:tr>
        <w:trPr>
          <w:tblHeader/>
        </w:trPr>
        <w:tc>
          <w:tcPr>
            <w:tcW w:type="dxa" w:w="30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Section</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Pages (PDF)</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Mots</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Cible</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À rédiger</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role-1.md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role-2.md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role-3.md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role-4.md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role-5.md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role-6.md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recommandation.md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outils-ia.md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bl>
    <w:p>
      <w:pPr>
        <w:pStyle w:val="Heading2"/>
        <w:spacing w:after="120" w:before="240"/>
      </w:pPr>
      <w:r>
        <w:rPr>
          <w:rFonts w:ascii="Arial" w:cs="Arial" w:eastAsia="Arial" w:hAnsi="Arial"/>
        </w:rPr>
        <w:t xml:space="preserve">Jetons inconnus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que personne n'a relues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contestées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Fichiers absents ou vides</w:t>
      </w:r>
    </w:p>
    <w:p>
      <w:pPr>
        <w:pStyle w:val="ListParagraph"/>
        <w:numPr>
          <w:ilvl w:val="0"/>
          <w:numId w:val="5"/>
        </w:numPr>
        <w:spacing w:after="80"/>
      </w:pPr>
      <w:r>
        <w:rPr>
          <w:rFonts w:ascii="Arial" w:cs="Arial" w:eastAsia="Arial" w:hAnsi="Arial"/>
          <w:sz w:val="22"/>
          <w:szCs w:val="22"/>
        </w:rPr>
        <w:t xml:space="preserve">role-1.md</w:t>
      </w:r>
    </w:p>
    <w:p>
      <w:pPr>
        <w:pStyle w:val="ListParagraph"/>
        <w:numPr>
          <w:ilvl w:val="0"/>
          <w:numId w:val="5"/>
        </w:numPr>
        <w:spacing w:after="80"/>
      </w:pPr>
      <w:r>
        <w:rPr>
          <w:rFonts w:ascii="Arial" w:cs="Arial" w:eastAsia="Arial" w:hAnsi="Arial"/>
          <w:sz w:val="22"/>
          <w:szCs w:val="22"/>
        </w:rPr>
        <w:t xml:space="preserve">role-2.md</w:t>
      </w:r>
    </w:p>
    <w:p>
      <w:pPr>
        <w:pStyle w:val="ListParagraph"/>
        <w:numPr>
          <w:ilvl w:val="0"/>
          <w:numId w:val="5"/>
        </w:numPr>
        <w:spacing w:after="80"/>
      </w:pPr>
      <w:r>
        <w:rPr>
          <w:rFonts w:ascii="Arial" w:cs="Arial" w:eastAsia="Arial" w:hAnsi="Arial"/>
          <w:sz w:val="22"/>
          <w:szCs w:val="22"/>
        </w:rPr>
        <w:t xml:space="preserve">role-3.md</w:t>
      </w:r>
    </w:p>
    <w:p>
      <w:pPr>
        <w:pStyle w:val="ListParagraph"/>
        <w:numPr>
          <w:ilvl w:val="0"/>
          <w:numId w:val="5"/>
        </w:numPr>
        <w:spacing w:after="80"/>
      </w:pPr>
      <w:r>
        <w:rPr>
          <w:rFonts w:ascii="Arial" w:cs="Arial" w:eastAsia="Arial" w:hAnsi="Arial"/>
          <w:sz w:val="22"/>
          <w:szCs w:val="22"/>
        </w:rPr>
        <w:t xml:space="preserve">role-4.md</w:t>
      </w:r>
    </w:p>
    <w:p>
      <w:pPr>
        <w:pStyle w:val="ListParagraph"/>
        <w:numPr>
          <w:ilvl w:val="0"/>
          <w:numId w:val="5"/>
        </w:numPr>
        <w:spacing w:after="80"/>
      </w:pPr>
      <w:r>
        <w:rPr>
          <w:rFonts w:ascii="Arial" w:cs="Arial" w:eastAsia="Arial" w:hAnsi="Arial"/>
          <w:sz w:val="22"/>
          <w:szCs w:val="22"/>
        </w:rPr>
        <w:t xml:space="preserve">role-5.md</w:t>
      </w:r>
    </w:p>
    <w:p>
      <w:pPr>
        <w:pStyle w:val="ListParagraph"/>
        <w:numPr>
          <w:ilvl w:val="0"/>
          <w:numId w:val="5"/>
        </w:numPr>
        <w:spacing w:after="80"/>
      </w:pPr>
      <w:r>
        <w:rPr>
          <w:rFonts w:ascii="Arial" w:cs="Arial" w:eastAsia="Arial" w:hAnsi="Arial"/>
          <w:sz w:val="22"/>
          <w:szCs w:val="22"/>
        </w:rPr>
        <w:t xml:space="preserve">role-6.md</w:t>
      </w:r>
    </w:p>
    <w:p>
      <w:pPr>
        <w:pStyle w:val="Heading2"/>
        <w:spacing w:after="120" w:before="240"/>
      </w:pPr>
      <w:r>
        <w:rPr>
          <w:rFonts w:ascii="Arial" w:cs="Arial" w:eastAsia="Arial" w:hAnsi="Arial"/>
        </w:rPr>
        <w:t xml:space="preserve">Chiffres du registre jamais cités par leur rôle</w:t>
      </w:r>
    </w:p>
    <w:p>
      <w:pPr>
        <w:pStyle w:val="ListParagraph"/>
        <w:numPr>
          <w:ilvl w:val="0"/>
          <w:numId w:val="5"/>
        </w:numPr>
        <w:spacing w:after="80"/>
      </w:pPr>
      <w:r>
        <w:rPr>
          <w:rFonts w:ascii="Arial" w:cs="Arial" w:eastAsia="Arial" w:hAnsi="Arial"/>
          <w:sz w:val="22"/>
          <w:szCs w:val="22"/>
        </w:rPr>
        <w:t xml:space="preserve">rôle 1 : 20 — F2, F18, F32, F90, F91, F92, F129, F130, F131, F132, F133, F134, F135, F136, F137, F138, F654, F659, F661, F662</w:t>
      </w:r>
    </w:p>
    <w:p>
      <w:pPr>
        <w:pStyle w:val="ListParagraph"/>
        <w:numPr>
          <w:ilvl w:val="0"/>
          <w:numId w:val="5"/>
        </w:numPr>
        <w:spacing w:after="80"/>
      </w:pPr>
      <w:r>
        <w:rPr>
          <w:rFonts w:ascii="Arial" w:cs="Arial" w:eastAsia="Arial" w:hAnsi="Arial"/>
          <w:sz w:val="22"/>
          <w:szCs w:val="22"/>
        </w:rPr>
        <w:t xml:space="preserve">rôle 2 : 256 — F1, F3, F6, F8, F10, F11, F12, F14, F16, F17, F19, F20, F22, F23, F26, F51, F55, F56, F57, F66 …</w:t>
      </w:r>
    </w:p>
    <w:p>
      <w:pPr>
        <w:pStyle w:val="ListParagraph"/>
        <w:numPr>
          <w:ilvl w:val="0"/>
          <w:numId w:val="5"/>
        </w:numPr>
        <w:spacing w:after="80"/>
      </w:pPr>
      <w:r>
        <w:rPr>
          <w:rFonts w:ascii="Arial" w:cs="Arial" w:eastAsia="Arial" w:hAnsi="Arial"/>
          <w:sz w:val="22"/>
          <w:szCs w:val="22"/>
        </w:rPr>
        <w:t xml:space="preserve">rôle 3 : 131 — F4, F5, F7, F9, F13, F15, F21, F24, F25, F27, F28, F29, F30, F31, F53, F64, F65, F67, F68, F69 …</w:t>
      </w:r>
    </w:p>
    <w:p>
      <w:pPr>
        <w:pStyle w:val="ListParagraph"/>
        <w:numPr>
          <w:ilvl w:val="0"/>
          <w:numId w:val="5"/>
        </w:numPr>
        <w:spacing w:after="80"/>
      </w:pPr>
      <w:r>
        <w:rPr>
          <w:rFonts w:ascii="Arial" w:cs="Arial" w:eastAsia="Arial" w:hAnsi="Arial"/>
          <w:sz w:val="22"/>
          <w:szCs w:val="22"/>
        </w:rPr>
        <w:t xml:space="preserve">rôle 4 : 133 — F33, F34, F35, F36, F37, F38, F39, F40, F41, F52, F54, F58, F59, F60, F61, F62, F63, F93, F94, F95 …</w:t>
      </w:r>
    </w:p>
    <w:p>
      <w:pPr>
        <w:pStyle w:val="ListParagraph"/>
        <w:numPr>
          <w:ilvl w:val="0"/>
          <w:numId w:val="5"/>
        </w:numPr>
        <w:spacing w:after="80"/>
      </w:pPr>
      <w:r>
        <w:rPr>
          <w:rFonts w:ascii="Arial" w:cs="Arial" w:eastAsia="Arial" w:hAnsi="Arial"/>
          <w:sz w:val="22"/>
          <w:szCs w:val="22"/>
        </w:rPr>
        <w:t xml:space="preserve">rôle 5 : 66 — F42, F43, F44, F45, F98, F99, F100, F101, F102, F103, F104, F105, F106, F107, F108, F109, F127, F128, F218, F219 …</w:t>
      </w:r>
    </w:p>
    <w:p>
      <w:pPr>
        <w:pStyle w:val="ListParagraph"/>
        <w:numPr>
          <w:ilvl w:val="0"/>
          <w:numId w:val="5"/>
        </w:numPr>
        <w:spacing w:after="80"/>
      </w:pPr>
      <w:r>
        <w:rPr>
          <w:rFonts w:ascii="Arial" w:cs="Arial" w:eastAsia="Arial" w:hAnsi="Arial"/>
          <w:sz w:val="22"/>
          <w:szCs w:val="22"/>
        </w:rPr>
        <w:t xml:space="preserve">rôle 6 : 64 — F46, F47, F48, F49, F50, F76, F77, F209, F210, F211, F212, F213, F214, F215, F216, F443, F444, F445, F471, F472 …</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h3wnndxvcvxydqecwftod" Type="http://schemas.openxmlformats.org/officeDocument/2006/relationships/hyperlink" Target="https://dataroom.is42.fr:8443/visualisation/rapport.html"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GreenUp 2027 : combien Veolia peut-elle encore acheter sans dépasser ses engagements de levier ?</dc:title>
  <dc:creator>Groupe sujet 2</dc:creator>
  <cp:lastModifiedBy>Un-named</cp:lastModifiedBy>
  <cp:revision>1</cp:revision>
  <dcterms:created xsi:type="dcterms:W3CDTF">2026-10-10T16:52:46.202Z</dcterms:created>
  <dcterms:modified xsi:type="dcterms:W3CDTF">2026-10-10T16:52:46.203Z</dcterms:modified>
</cp:coreProperties>
</file>

<file path=docProps/custom.xml><?xml version="1.0" encoding="utf-8"?>
<Properties xmlns="http://schemas.openxmlformats.org/officeDocument/2006/custom-properties" xmlns:vt="http://schemas.openxmlformats.org/officeDocument/2006/docPropsVTypes"/>
</file>