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(259 chiffres sourcés ; contrôles du classeur : OK). Chaque chiffre cité renvoie à l'annexe A : fichier, page, URL, date de consultation. Les passages surlignés sont à rédiger par l'auteur de la section.</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−0,50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La recommandation en trois phrases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agences (BBB / Baa1, présentation Clean Earth p.16) raisonnent sur leurs propres ratios, qui ne sont pas dans la dataroom.</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(−500 M€).</w:t>
      </w:r>
    </w:p>
    <w:p>
      <w:pPr>
        <w:pStyle w:val="Heading2"/>
        <w:spacing w:after="120" w:before="240"/>
      </w:pPr>
      <w:r>
        <w:rPr>
          <w:rFonts w:ascii="Arial" w:cs="Arial" w:eastAsia="Arial" w:hAnsi="Arial"/>
        </w:rPr>
        <w:t xml:space="preserve">Raisonnement</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−500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−500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Booster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w:t>
      </w:r>
    </w:p>
    <w:p>
      <w:pPr>
        <w:pStyle w:val="Heading2"/>
        <w:spacing w:after="120" w:before="240"/>
      </w:pPr>
      <w:r>
        <w:rPr>
          <w:rFonts w:ascii="Arial" w:cs="Arial" w:eastAsia="Arial" w:hAnsi="Arial"/>
        </w:rPr>
        <w:t xml:space="preserve">Raisonnement</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Fin 2027, la marge centrale permet une acquisition d'environ 2,3 Md€ au multiple de Clean Earth, moins que Clean Earth lui-même (2,8 Md€). Dans le scénario défavorable, rien.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2,51 Md€ en central, 0 en défavorable, 5,59 Md€ en favorable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reste à construire : aucun document de la dataroom ne nomme une cible disponible ; les candidats viendront de la presse et des rapports de pairs, chacun avec sa valeur publiée ou « non communiqué ».</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5"/>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5 031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259 chiffres du registre et les 26 deals : aucun n'a encore de relecteur.</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259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5"/>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squelette.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Ce que le groupe a décidé sans l'outil : le choix des hypothèses, la recommandation, les cas où l'outil a été contredit après lecture. Puis un tableau : membre, outil, usage, période.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2026-10-06T10:09:34.281Z</dcterms:created>
  <dcterms:modified xsi:type="dcterms:W3CDTF">2026-10-06T10:09:34.282Z</dcterms:modified>
</cp:coreProperties>
</file>

<file path=docProps/custom.xml><?xml version="1.0" encoding="utf-8"?>
<Properties xmlns="http://schemas.openxmlformats.org/officeDocument/2006/custom-properties" xmlns:vt="http://schemas.openxmlformats.org/officeDocument/2006/docPropsVTypes"/>
</file>