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2026-10-08 depuis la dataroom du groupe (620 chiffres sourcés ; contrôles du classeur : OK). Chaque chiffre cité renvoie à l'annexe A : fichier, page, URL, date de consultation. Les passages surlignés sont à rédiger par l'auteur de la section ; « † » après un identifiant : ligne que personne n'a encore relue.</w:t>
      </w:r>
    </w:p>
    <w:p>
      <w:pPr>
        <w:spacing w:before="240"/>
        <w:jc w:val="center"/>
      </w:pPr>
      <w:r>
        <w:rPr>
          <w:rFonts w:ascii="Arial" w:cs="Arial" w:eastAsia="Arial" w:hAnsi="Arial"/>
          <w:color w:val="555555"/>
          <w:sz w:val="18"/>
          <w:szCs w:val="18"/>
        </w:rPr>
        <w:t xml:space="preserve">Édition vérifiable, où chaque chiffre ouvre sa page source : </w:t>
      </w:r>
      <w:hyperlink w:history="1" r:id="rIdauv-1t7ld5_pqpp6mlokz">
        <w:r>
          <w:rPr>
            <w:rStyle w:val="Hyperlink"/>
            <w:rFonts w:ascii="Arial" w:cs="Arial" w:eastAsia="Arial" w:hAnsi="Arial"/>
            <w:sz w:val="18"/>
            <w:szCs w:val="18"/>
          </w:rPr>
          <w:t xml:space="preserve">https://dataroom.is42.fr:8443/visualisation/rapport.html</w:t>
        </w:r>
      </w:hyperlink>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 (généré)</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08_Livrables/texte/role-1.md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 Échéancier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 (généré)</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pStyle w:val="ListParagraph"/>
        <w:numPr>
          <w:ilvl w:val="0"/>
          <w:numId w:val="6"/>
        </w:numPr>
        <w:spacing w:after="80"/>
      </w:pPr>
      <w:r>
        <w:rPr>
          <w:rFonts w:ascii="Arial" w:cs="Arial" w:eastAsia="Arial" w:hAnsi="Arial"/>
          <w:sz w:val="22"/>
          <w:szCs w:val="22"/>
        </w:rPr>
        <w:t xml:space="preserve">Le mur de refinancement n'en est pas un : les flux contractuels de dette 2026 (9 642 M€, dont 4 933 de billets de trésorerie renouvelés en continu) sont couverts 1,65x par 15 911 M€ de liquidités, dont une ligne syndiquée de 4 500 M€ non tirée jusqu'en 2030 ; 2027 pèse 3 891 M€ (DEU p.421). Aucun covenant financier sur la dette de Veolia Environnement (p.422). Ce que le mur change, c'est le FFO : les souches de 2027-2028 portent des coupons de 0 à 1,6 % et se refinanceront vers 3,3 % (émission de juin 2025), soit ~74 M€ d'intérêts de plus par an (1,4 % du FFO).</w:t>
      </w:r>
    </w:p>
    <w:p>
      <w:pPr>
        <w:pStyle w:val="ListParagraph"/>
        <w:numPr>
          <w:ilvl w:val="0"/>
          <w:numId w:val="6"/>
        </w:numPr>
        <w:spacing w:after="80"/>
      </w:pPr>
      <w:r>
        <w:rPr>
          <w:rFonts w:ascii="Arial" w:cs="Arial" w:eastAsia="Arial" w:hAnsi="Arial"/>
          <w:sz w:val="22"/>
          <w:szCs w:val="22"/>
        </w:rPr>
        <w:t xml:space="preserve">Le FFO des agences se reconstitue depuis le tableau de flux : capacité d'autofinancement avant BFR 6 144 M€, moins impôts et intérêts payés, plus remboursements d'actifs financiers opérationnels et dividendes reçus = 5 157 M€, contre 5 160 publiés par Moody's (écart −0,1 %). Le classeur le contrôle à ± 5 % sur 2024 et 2025.</w:t>
      </w:r>
    </w:p>
    <w:p>
      <w:pPr>
        <w:shd w:fill="FFF2A8" w:color="auto" w:val="clear"/>
        <w:spacing w:after="160" w:before="160"/>
      </w:pPr>
      <w:r>
        <w:rPr>
          <w:rFonts w:ascii="Arial" w:cs="Arial" w:eastAsia="Arial" w:hAnsi="Arial"/>
          <w:i/>
          <w:iCs/>
          <w:sz w:val="22"/>
          <w:szCs w:val="22"/>
        </w:rPr>
        <w:t xml:space="preserve">[À rédiger] 08_Livrables/texte/role-2.md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 Pont EBITDA</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(−535 M€). Mais « tout en même temps » n'arrive presque jamais : sur 1 000 futurs tirés entre les bornes de chaque hypothèse, avec un facteur conjoncture commun (corrélation 0,4), 100 % tiennent les deux plafonds fin 2027 ; la marge contraignante médiane est de 1 460 M€, et 95 % des futurs dépassent 730 M€. Le risque n'est pas de franchir le plafond par la conjoncture : c'est de le franchir par une décision (une acquisition trop grande).</w:t>
      </w:r>
    </w:p>
    <w:p>
      <w:pPr>
        <w:pStyle w:val="Heading2"/>
        <w:spacing w:after="120" w:before="240"/>
      </w:pPr>
      <w:r>
        <w:rPr>
          <w:rFonts w:ascii="Arial" w:cs="Arial" w:eastAsia="Arial" w:hAnsi="Arial"/>
        </w:rPr>
        <w:t xml:space="preserve">Raisonnement (généré)</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−535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08_Livrables/texte/role-3.md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Segments, Pont EBITDA, Booster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 Les 8 Md€ sont d'abord un plan de coûts : l'efficacité promise (350 M€ par an, GreenUp p.58) couvre 93 % de l'écart entre la base 2023 (6,5 Md€) et l'objectif ; en 2025, les 399 M€ de gains d'efficacité expliquent 93 % de la croissance organique de l'EBITDA (+6,3 %, soit ~428 M€), et hors efficacité et synergies Suez l'EBITDA organique recule d'environ 70 M€. Sans efficacité en 2026-2027, la marge sous 3x fin 2027 passe de 1 571 à −529 M€.</w:t>
      </w:r>
    </w:p>
    <w:p>
      <w:pPr>
        <w:pStyle w:val="Heading2"/>
        <w:spacing w:after="120" w:before="240"/>
      </w:pPr>
      <w:r>
        <w:rPr>
          <w:rFonts w:ascii="Arial" w:cs="Arial" w:eastAsia="Arial" w:hAnsi="Arial"/>
        </w:rPr>
        <w:t xml:space="preserve">Raisonnement (généré)</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08_Livrables/texte/role-4.md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5"/>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 (généré)</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08_Livrables/texte/role-5.md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Fin 2027, la marge centrale permet une acquisition d'environ 2,3 Md€ au multiple de Clean Earth (médiane des 1 000 futurs tirés : 2,15 Md€ ; 80 % entre 1,33 et 3,07 Md€ ; probabilité de pouvoir acheter 1 Md€ : 97 %, 2 Md€ : 60 %, 3 Md€ : 12 %), moins que Clean Earth lui-même (2,8 Md€). Dans le scénario défavorable, rien. Une cible de 3 Md€ à 9,8x laisserait 511 M€ à trouver sous 3x fin 2027 : 511 M€ d'hybrides (22 M€ de coupon par an), ou 730 M€ de cessions accélérées (73 M€ d'EBITDA perdu par an), ou une augmentation de capital diluant de 2,4 % ; sans financement, elle ne tient que payée moins de 6,7x.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 (généré)</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(9,8x), 2,26 Md€ en central, 0,00 en défavorable, 5,03 Md€ en favorable ; à 8x, 2,51 Md€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 8 cibles sourcées, toutes détenues par des fonds entrés entre 2023 et 2025 (Cibles §C). 4 ont une valeur publiée ; 3 tiennent dans la marge centrale au multiple retenu (12,81x, médiane du secteur avant synergies).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w:t>
      </w:r>
    </w:p>
    <w:p>
      <w:pPr>
        <w:pStyle w:val="ListParagraph"/>
        <w:numPr>
          <w:ilvl w:val="0"/>
          <w:numId w:val="10"/>
        </w:numPr>
        <w:spacing w:after="80"/>
      </w:pPr>
      <w:r>
        <w:rPr>
          <w:rFonts w:ascii="Arial" w:cs="Arial" w:eastAsia="Arial" w:hAnsi="Arial"/>
          <w:sz w:val="22"/>
          <w:szCs w:val="22"/>
        </w:rPr>
        <w:t xml:space="preserve">La valeur de chaque cible est la dernière publiée (la transaction qui a fait entrer le fonds), pas un prix de vente d'aujourd'hui : un fonds qui sort vend plus cher qu'il n'a acheté. La probabilité est donc un plafond.</w:t>
      </w:r>
    </w:p>
    <w:p>
      <w:pPr>
        <w:shd w:fill="FFF2A8" w:color="auto" w:val="clear"/>
        <w:spacing w:after="160" w:before="160"/>
      </w:pPr>
      <w:r>
        <w:rPr>
          <w:rFonts w:ascii="Arial" w:cs="Arial" w:eastAsia="Arial" w:hAnsi="Arial"/>
          <w:i/>
          <w:iCs/>
          <w:sz w:val="22"/>
          <w:szCs w:val="22"/>
        </w:rPr>
        <w:t xml:space="preserve">[À rédiger] 08_Livrables/texte/role-6.md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EBITDA ajusté annuel attendu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synergies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17,41x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médiane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payé retenu pour les cibles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Heritage-Crystal Clean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1 021 M€ ; 94 %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J.F. Lehman &amp; Company (fonds, depuis le 17/10/2023) ; T2 — crystal-clean-jfl-2023-07-19.html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Arcwood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 Infrastructure (fonds, depuis janvier 2024) ; T3 — arcwood-rebrand-2025-03-18.html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Triumvirate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1 531 M€ ; 73 %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Berkshire Partners et le fondateur (depuis février 2025) ; T4 — triumvirate-berkshire-2025-02-04.html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GFL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4 982 M€ ; 0 %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Apollo et BC Partners (depuis le 03/03/2025), GFL garde 44 % ; T5 — gfl-es-latham-2025-01-07.html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NG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 97 %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Summa Equity (fonds, depuis le 29/11/2024) ; T6 — fortum-summa-ng-group-2024-07-18.html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depuis 2024) ; T7 — enviracore-lancement-2025-09-30.html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lower middle market, depuis le 30/09/2025) ; T8 — bizwire-2025-9-30-seaside-equity-partners-la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Envisol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Groupe Géotec (depuis le 20/02/2025), lui-même sous LBO avec Naxicap Partners, BDR Invest et Jadel ; T9 — geotec-2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La notation qualitative (traitement, géographie, PFAS, concurrence, passifs) est au groupe : cellules jaunes de Cibles §C.</w:t>
      </w:r>
    </w:p>
    <w:p>
      <w:pPr>
        <w:pStyle w:val="ListParagraph"/>
        <w:numPr>
          <w:ilvl w:val="0"/>
          <w:numId w:val="5"/>
        </w:numPr>
        <w:spacing w:after="80"/>
      </w:pPr>
      <w:r>
        <w:rPr>
          <w:rFonts w:ascii="Arial" w:cs="Arial" w:eastAsia="Arial" w:hAnsi="Arial"/>
          <w:sz w:val="22"/>
          <w:szCs w:val="22"/>
        </w:rPr>
        <w:t xml:space="preserve">Arcwood (incinération, PFAS) n'a pas de prix publié : la grille ne peut pas répondre pour elle sans une estimation sourcée.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17,41x (HEPACO et EnviroServe par Clean Harbors, Covanta par EQT, US Ecology par Republic) ; HEPACO ressort à 7,1x après synergies, EnviroServe et ES&amp;H à 8,9x. Clean Earth avant synergies reste 2,41x sous le plus cher du secteur (Clean Harbors → EnviroServe (2026)) : les synergies « achètent » 5,20x de multiple. D'où la grille : 8x, 9,8x, 12x.</w:t>
      </w:r>
    </w:p>
    <w:p>
      <w:pPr>
        <w:spacing w:after="120" w:line="300"/>
      </w:pPr>
      <w:r>
        <w:rPr>
          <w:rFonts w:ascii="Arial" w:cs="Arial" w:eastAsia="Arial" w:hAnsi="Arial"/>
          <w:b/>
          <w:bCs/>
          <w:sz w:val="22"/>
          <w:szCs w:val="22"/>
        </w:rPr>
        <w:t xml:space="preserve">Quelles cibles regardez-vous ?</w:t>
      </w:r>
    </w:p>
    <w:p>
      <w:pPr>
        <w:spacing w:after="120" w:line="300"/>
      </w:pPr>
      <w:r>
        <w:rPr>
          <w:rFonts w:ascii="Arial" w:cs="Arial" w:eastAsia="Arial" w:hAnsi="Arial"/>
          <w:sz w:val="22"/>
          <w:szCs w:val="22"/>
        </w:rPr>
        <w:t xml:space="preserve">8 cibles réelles, détenues par des fonds :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 Au multiple médian du secteur (12,81x), 3 tiennent dans la marge centrale, la plus grande pour 1 531 M€. Les valeurs sont celles de l'entrée du fonds : un vendeur demandera plus.</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Pour la capacité, celui de Clean Earth après synergies, parce que c'est le seul qu'un acheteur comme Veolia ait publié. Plus le multiple monte, plus la taille possible baisse : à 12x, 2,09 Md€. Pour noter une cible réelle, la médiane du secteur avant synergies (12,81x) : la dette arrive le jour du paiement, les synergies après fin 2027.</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620 chiffres du registre (0 relus) et les 40 opérations (0 relues).</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Noter les 8 cibles de l'onglet Cibles §C (cellules jaunes) et chercher une valeur sourcée pour celles qui n'en ont pas.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620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EBITDA ajusté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chiffre d'affaires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prix combiné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775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EBITDA ajusté annuel combiné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multiple combiné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ES&amp;H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clean-harbors-q2-2026-2026-07-29.html, p. 1, https://www.stocktitan.net/news/CLH/clean-harbors-announces-second-quarter-2026-financial-i7hymqt5jls0.html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valorisation de la transaction,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45.50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 Recycling and Waste (NG Group, Summa Equity) : prix, dette et trésorerie exclues,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fortum-summa-ng-group-2024-07-18.html, p. 1, https://news.cision.com/summa-equity/r/summa-equity-through-ng-group-acquires-fortum-recycling-and-waste,c4035069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 Environmental (Berkshire Partners) : valorisation après 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triumvirate-berkshire-2025-02-04.html, p. 1, https://ca.finance.yahoo.com/news/triumvirate-environmental-valued-1-8-132050079.html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(Apollo, BC Partners)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 participation conservée par GFL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Taux de référence BCE : dollars canadiens pour un euro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1.6058 CAD pour 1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06/10/2026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bce-taux-eur-cad-2026-10-06.html, p. 1, https://www.ecb.europa.eu/stats/policy_and_exchange_rates/euro_reference_exchange_rates/html/eurofxref-graph-cad.en.html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 (Enviracore) : salariés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2019</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emi-entretien-2019-01-31.html, p. 1, http://podcast.madepossibleby.us/blog/2019/1/31/environmental-management-services-from-a-garage-startup-to-guthries-business-of-the-year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salariés,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implantations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et ne résume rien ; il garde pour chaque ligne du registre qui l'a saisie et qui l'a relue.</w:t>
      </w:r>
    </w:p>
    <w:p>
      <w:pPr>
        <w:pStyle w:val="ListParagraph"/>
        <w:numPr>
          <w:ilvl w:val="0"/>
          <w:numId w:val="5"/>
        </w:numPr>
        <w:spacing w:after="80"/>
      </w:pPr>
      <w:r>
        <w:rPr>
          <w:rFonts w:ascii="Arial" w:cs="Arial" w:eastAsia="Arial" w:hAnsi="Arial"/>
          <w:sz w:val="22"/>
          <w:szCs w:val="22"/>
        </w:rPr>
        <w:t xml:space="preserve">Le registre compte 620 chiffres et 40 opérations. 660 lignes y ont été saisies par Claude (Anthropic) à travers le compte partagé du serveur, en recopiant le nombre imprimé sur une page indexée dont le fichier et le numéro sont cités ; 0 ligne par les membres du groupe avec leur compte personnel. 0 ligne sur 660 ont été relues sur la page citée par un membre autre que leur auteur ; 660 ne l'ont pas encore été. Le rapport signale d'un « † » chaque chiffre cité qui n'a pas de second lecteur.</w:t>
      </w:r>
    </w:p>
    <w:p>
      <w:pPr>
        <w:pStyle w:val="ListParagraph"/>
        <w:numPr>
          <w:ilvl w:val="0"/>
          <w:numId w:val="5"/>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pStyle w:val="ListParagraph"/>
        <w:numPr>
          <w:ilvl w:val="0"/>
          <w:numId w:val="5"/>
        </w:numPr>
        <w:spacing w:after="80"/>
      </w:pPr>
      <w:r>
        <w:rPr>
          <w:rFonts w:ascii="Arial" w:cs="Arial" w:eastAsia="Arial" w:hAnsi="Arial"/>
          <w:sz w:val="22"/>
          <w:szCs w:val="22"/>
        </w:rPr>
        <w:t xml:space="preserve">role-1.md</w:t>
      </w:r>
    </w:p>
    <w:p>
      <w:pPr>
        <w:pStyle w:val="ListParagraph"/>
        <w:numPr>
          <w:ilvl w:val="0"/>
          <w:numId w:val="5"/>
        </w:numPr>
        <w:spacing w:after="80"/>
      </w:pPr>
      <w:r>
        <w:rPr>
          <w:rFonts w:ascii="Arial" w:cs="Arial" w:eastAsia="Arial" w:hAnsi="Arial"/>
          <w:sz w:val="22"/>
          <w:szCs w:val="22"/>
        </w:rPr>
        <w:t xml:space="preserve">role-2.md</w:t>
      </w:r>
    </w:p>
    <w:p>
      <w:pPr>
        <w:pStyle w:val="ListParagraph"/>
        <w:numPr>
          <w:ilvl w:val="0"/>
          <w:numId w:val="5"/>
        </w:numPr>
        <w:spacing w:after="80"/>
      </w:pPr>
      <w:r>
        <w:rPr>
          <w:rFonts w:ascii="Arial" w:cs="Arial" w:eastAsia="Arial" w:hAnsi="Arial"/>
          <w:sz w:val="22"/>
          <w:szCs w:val="22"/>
        </w:rPr>
        <w:t xml:space="preserve">role-3.md</w:t>
      </w:r>
    </w:p>
    <w:p>
      <w:pPr>
        <w:pStyle w:val="ListParagraph"/>
        <w:numPr>
          <w:ilvl w:val="0"/>
          <w:numId w:val="5"/>
        </w:numPr>
        <w:spacing w:after="80"/>
      </w:pPr>
      <w:r>
        <w:rPr>
          <w:rFonts w:ascii="Arial" w:cs="Arial" w:eastAsia="Arial" w:hAnsi="Arial"/>
          <w:sz w:val="22"/>
          <w:szCs w:val="22"/>
        </w:rPr>
        <w:t xml:space="preserve">role-4.md</w:t>
      </w:r>
    </w:p>
    <w:p>
      <w:pPr>
        <w:pStyle w:val="ListParagraph"/>
        <w:numPr>
          <w:ilvl w:val="0"/>
          <w:numId w:val="5"/>
        </w:numPr>
        <w:spacing w:after="80"/>
      </w:pPr>
      <w:r>
        <w:rPr>
          <w:rFonts w:ascii="Arial" w:cs="Arial" w:eastAsia="Arial" w:hAnsi="Arial"/>
          <w:sz w:val="22"/>
          <w:szCs w:val="22"/>
        </w:rPr>
        <w:t xml:space="preserve">role-5.md</w:t>
      </w:r>
    </w:p>
    <w:p>
      <w:pPr>
        <w:pStyle w:val="ListParagraph"/>
        <w:numPr>
          <w:ilvl w:val="0"/>
          <w:numId w:val="5"/>
        </w:numPr>
        <w:spacing w:after="80"/>
      </w:pPr>
      <w:r>
        <w:rPr>
          <w:rFonts w:ascii="Arial" w:cs="Arial" w:eastAsia="Arial" w:hAnsi="Arial"/>
          <w:sz w:val="22"/>
          <w:szCs w:val="22"/>
        </w:rPr>
        <w:t xml:space="preserve">role-6.md</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5"/>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5"/>
        </w:numPr>
        <w:spacing w:after="80"/>
      </w:pPr>
      <w:r>
        <w:rPr>
          <w:rFonts w:ascii="Arial" w:cs="Arial" w:eastAsia="Arial" w:hAnsi="Arial"/>
          <w:sz w:val="22"/>
          <w:szCs w:val="22"/>
        </w:rPr>
        <w:t xml:space="preserve">rôle 2 : 245 — F1, F3, F6, F8, F10, F11, F12, F14, F16, F17, F19, F20, F22, F23, F26, F51, F55, F56, F57, F66 …</w:t>
      </w:r>
    </w:p>
    <w:p>
      <w:pPr>
        <w:pStyle w:val="ListParagraph"/>
        <w:numPr>
          <w:ilvl w:val="0"/>
          <w:numId w:val="5"/>
        </w:numPr>
        <w:spacing w:after="80"/>
      </w:pPr>
      <w:r>
        <w:rPr>
          <w:rFonts w:ascii="Arial" w:cs="Arial" w:eastAsia="Arial" w:hAnsi="Arial"/>
          <w:sz w:val="22"/>
          <w:szCs w:val="22"/>
        </w:rPr>
        <w:t xml:space="preserve">rôle 3 : 118 — F4, F5, F7, F9, F13, F15, F21, F24, F25, F27, F28, F29, F30, F31, F53, F64, F65, F67, F68, F69 …</w:t>
      </w:r>
    </w:p>
    <w:p>
      <w:pPr>
        <w:pStyle w:val="ListParagraph"/>
        <w:numPr>
          <w:ilvl w:val="0"/>
          <w:numId w:val="5"/>
        </w:numPr>
        <w:spacing w:after="80"/>
      </w:pPr>
      <w:r>
        <w:rPr>
          <w:rFonts w:ascii="Arial" w:cs="Arial" w:eastAsia="Arial" w:hAnsi="Arial"/>
          <w:sz w:val="22"/>
          <w:szCs w:val="22"/>
        </w:rPr>
        <w:t xml:space="preserve">rôle 4 : 111 — F33, F34, F35, F36, F37, F38, F39, F40, F41, F52, F54, F58, F59, F60, F61, F62, F63, F93, F94, F95 …</w:t>
      </w:r>
    </w:p>
    <w:p>
      <w:pPr>
        <w:pStyle w:val="ListParagraph"/>
        <w:numPr>
          <w:ilvl w:val="0"/>
          <w:numId w:val="5"/>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5"/>
        </w:numPr>
        <w:spacing w:after="80"/>
      </w:pPr>
      <w:r>
        <w:rPr>
          <w:rFonts w:ascii="Arial" w:cs="Arial" w:eastAsia="Arial" w:hAnsi="Arial"/>
          <w:sz w:val="22"/>
          <w:szCs w:val="22"/>
        </w:rPr>
        <w:t xml:space="preserve">rôle 6 : 64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auv-1t7ld5_pqpp6mlokz" Type="http://schemas.openxmlformats.org/officeDocument/2006/relationships/hyperlink" Target="https://dataroom.is42.fr:8443/visualisation/rapport.htm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2026-10-08T13:21:01.191Z</dcterms:created>
  <dcterms:modified xsi:type="dcterms:W3CDTF">2026-10-08T13:21:01.191Z</dcterms:modified>
</cp:coreProperties>
</file>

<file path=docProps/custom.xml><?xml version="1.0" encoding="utf-8"?>
<Properties xmlns="http://schemas.openxmlformats.org/officeDocument/2006/custom-properties" xmlns:vt="http://schemas.openxmlformats.org/officeDocument/2006/docPropsVTypes"/>
</file>