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36"/>
        </w:rPr>
        <w:t>Development Procedure Schedule</w:t>
      </w:r>
    </w:p>
    <w:p>
      <w:pPr>
        <w:spacing w:after="200"/>
      </w:pPr>
      <w:r>
        <w:rPr>
          <w:rFonts w:ascii="Calibri" w:hAnsi="Calibri"/>
          <w:color w:val="555555"/>
          <w:sz w:val="22"/>
        </w:rPr>
        <w:t>Implementation period: One month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following table organizes the development procedure into a one-month implementation period.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180"/>
        <w:gridCol w:w="228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Step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Development Activity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Scheduled Period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Finalize visual designs and learning content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1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Level 1 number recognition and lessons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1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Level 2 arithmetic activities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2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Level 3 gear rotation and alignment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2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Level 4 gear rotation and alignment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3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Review learner instructions for age suitability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3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Remove temporary development shortcuts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4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Deploy to hosting environment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4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6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Conduct browser compatibility testing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Week 4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color w:val="1F4D78"/>
          <w:sz w:val="22"/>
        </w:rPr>
        <w:t xml:space="preserve">Duration note: </w:t>
      </w:r>
      <w:r>
        <w:rPr>
          <w:rFonts w:ascii="Calibri" w:hAnsi="Calibri"/>
          <w:sz w:val="22"/>
        </w:rPr>
        <w:t>All listed activities should be completed within a one-month project period.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