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1A365D"/>
          <w:sz w:val="30"/>
        </w:rPr>
        <w:t>GOVERNMENT COLLEGE OF ENGINEERING, NAGPUR</w:t>
      </w:r>
    </w:p>
    <w:p>
      <w:pPr>
        <w:spacing w:before="0" w:after="280"/>
        <w:jc w:val="center"/>
      </w:pPr>
      <w:r>
        <w:rPr>
          <w:rFonts w:ascii="Calibri" w:hAnsi="Calibri"/>
          <w:b/>
          <w:color w:val="2B6CB0"/>
          <w:sz w:val="24"/>
        </w:rPr>
        <w:t>DEPARTMENT OF COMPUTER SCIENCE AND ENGINEERING</w:t>
      </w:r>
    </w:p>
    <w:p>
      <w:pPr>
        <w:spacing w:after="280"/>
        <w:jc w:val="center"/>
      </w:pPr>
      <w:r>
        <w:rPr>
          <w:color w:val="718096"/>
        </w:rPr>
        <w:t>―――――――――――――――――――――――――――――――――――――――――――――</w:t>
      </w:r>
    </w:p>
    <w:p>
      <w:pPr>
        <w:spacing w:after="80"/>
        <w:jc w:val="center"/>
      </w:pPr>
      <w:r>
        <w:rPr>
          <w:rFonts w:ascii="Calibri" w:hAnsi="Calibri"/>
          <w:b/>
          <w:color w:val="1A365D"/>
          <w:sz w:val="25"/>
        </w:rPr>
        <w:t>RESEARCH METHODOLOGY — B.TECH. PROJECT APPLICATION ASSIGNMENT</w:t>
      </w:r>
    </w:p>
    <w:p>
      <w:pPr>
        <w:spacing w:before="0" w:after="80"/>
        <w:jc w:val="center"/>
      </w:pPr>
      <w:r>
        <w:rPr>
          <w:rFonts w:ascii="Calibri" w:hAnsi="Calibri"/>
          <w:b/>
          <w:color w:val="1A365D"/>
          <w:sz w:val="34"/>
        </w:rPr>
        <w:t>MetaLearnHub: An Open-Set Few-Shot Meta-Learning Framework for Dynamic Class-Incremental Visual Recognition and Empirical Baseline Benchmarking</w:t>
      </w:r>
    </w:p>
    <w:p>
      <w:pPr>
        <w:spacing w:before="0" w:after="240"/>
        <w:jc w:val="center"/>
      </w:pPr>
      <w:r>
        <w:rPr>
          <w:rFonts w:ascii="Calibri" w:hAnsi="Calibri"/>
          <w:color w:val="2B6CB0"/>
          <w:sz w:val="24"/>
        </w:rPr>
        <w:t>A Research Methodology Investigation on Transferable Metric Learning, Adaptive Open-Set Rejection, and Closed-Set Supervised Failure Modes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874"/>
        <w:gridCol w:w="4874"/>
      </w:tblGrid>
      <w:tr>
        <w:tc>
          <w:tcPr>
            <w:tcW w:type="dxa" w:w="3600"/>
            <w:shd w:fill="F7FAFC"/>
            <w:tcMar>
              <w:top w:w="70" w:type="dxa"/>
              <w:bottom w:w="70" w:type="dxa"/>
              <w:left w:w="100" w:type="dxa"/>
              <w:right w:w="100" w:type="dxa"/>
            </w:tcMar>
          </w:tcPr>
          <w:p>
            <w:pPr>
              <w:spacing w:after="0"/>
            </w:pPr>
            <w:r>
              <w:rPr>
                <w:rFonts w:ascii="Calibri" w:hAnsi="Calibri"/>
                <w:b/>
                <w:color w:val="1A365D"/>
                <w:sz w:val="18"/>
              </w:rPr>
              <w:t>Academic Year &amp; Semester:</w:t>
            </w:r>
          </w:p>
        </w:tc>
        <w:tc>
          <w:tcPr>
            <w:tcW w:type="dxa" w:w="6149"/>
            <w:tcMar>
              <w:top w:w="70" w:type="dxa"/>
              <w:bottom w:w="70" w:type="dxa"/>
              <w:left w:w="100" w:type="dxa"/>
              <w:right w:w="100" w:type="dxa"/>
            </w:tcMar>
          </w:tcPr>
          <w:p>
            <w:pPr>
              <w:spacing w:after="0"/>
            </w:pPr>
            <w:r>
              <w:rPr>
                <w:rFonts w:ascii="Calibri" w:hAnsi="Calibri"/>
                <w:color w:val="2D3748"/>
                <w:sz w:val="18"/>
              </w:rPr>
              <w:t>2026-27 | B.Tech. Final Year (Semester VII/VIII)</w:t>
            </w:r>
          </w:p>
        </w:tc>
      </w:tr>
      <w:tr>
        <w:tc>
          <w:tcPr>
            <w:tcW w:type="dxa" w:w="3600"/>
            <w:shd w:fill="F7FAFC"/>
            <w:tcMar>
              <w:top w:w="70" w:type="dxa"/>
              <w:bottom w:w="70" w:type="dxa"/>
              <w:left w:w="100" w:type="dxa"/>
              <w:right w:w="100" w:type="dxa"/>
            </w:tcMar>
          </w:tcPr>
          <w:p>
            <w:pPr>
              <w:spacing w:after="0"/>
            </w:pPr>
            <w:r>
              <w:rPr>
                <w:rFonts w:ascii="Calibri" w:hAnsi="Calibri"/>
                <w:b/>
                <w:color w:val="1A365D"/>
                <w:sz w:val="18"/>
              </w:rPr>
              <w:t>Course / Subject:</w:t>
            </w:r>
          </w:p>
        </w:tc>
        <w:tc>
          <w:tcPr>
            <w:tcW w:type="dxa" w:w="6149"/>
            <w:tcMar>
              <w:top w:w="70" w:type="dxa"/>
              <w:bottom w:w="70" w:type="dxa"/>
              <w:left w:w="100" w:type="dxa"/>
              <w:right w:w="100" w:type="dxa"/>
            </w:tcMar>
          </w:tcPr>
          <w:p>
            <w:pPr>
              <w:spacing w:after="0"/>
            </w:pPr>
            <w:r>
              <w:rPr>
                <w:rFonts w:ascii="Calibri" w:hAnsi="Calibri"/>
                <w:color w:val="2D3748"/>
                <w:sz w:val="18"/>
              </w:rPr>
              <w:t>Research Methodology (Computer Science and Engineering)</w:t>
            </w:r>
          </w:p>
        </w:tc>
      </w:tr>
      <w:tr>
        <w:tc>
          <w:tcPr>
            <w:tcW w:type="dxa" w:w="3600"/>
            <w:shd w:fill="F7FAFC"/>
            <w:tcMar>
              <w:top w:w="70" w:type="dxa"/>
              <w:bottom w:w="70" w:type="dxa"/>
              <w:left w:w="100" w:type="dxa"/>
              <w:right w:w="100" w:type="dxa"/>
            </w:tcMar>
          </w:tcPr>
          <w:p>
            <w:pPr>
              <w:spacing w:after="0"/>
            </w:pPr>
            <w:r>
              <w:rPr>
                <w:rFonts w:ascii="Calibri" w:hAnsi="Calibri"/>
                <w:b/>
                <w:color w:val="1A365D"/>
                <w:sz w:val="18"/>
              </w:rPr>
              <w:t>Project Group Identifier:</w:t>
            </w:r>
          </w:p>
        </w:tc>
        <w:tc>
          <w:tcPr>
            <w:tcW w:type="dxa" w:w="6149"/>
            <w:tcMar>
              <w:top w:w="70" w:type="dxa"/>
              <w:bottom w:w="70" w:type="dxa"/>
              <w:left w:w="100" w:type="dxa"/>
              <w:right w:w="100" w:type="dxa"/>
            </w:tcMar>
          </w:tcPr>
          <w:p>
            <w:pPr>
              <w:spacing w:after="0"/>
            </w:pPr>
            <w:r>
              <w:rPr>
                <w:rFonts w:ascii="Calibri" w:hAnsi="Calibri"/>
                <w:color w:val="2D3748"/>
                <w:sz w:val="18"/>
              </w:rPr>
              <w:t>Group No. 07</w:t>
            </w:r>
          </w:p>
        </w:tc>
      </w:tr>
      <w:tr>
        <w:tc>
          <w:tcPr>
            <w:tcW w:type="dxa" w:w="3600"/>
            <w:shd w:fill="F7FAFC"/>
            <w:tcMar>
              <w:top w:w="70" w:type="dxa"/>
              <w:bottom w:w="70" w:type="dxa"/>
              <w:left w:w="100" w:type="dxa"/>
              <w:right w:w="100" w:type="dxa"/>
            </w:tcMar>
          </w:tcPr>
          <w:p>
            <w:pPr>
              <w:spacing w:after="0"/>
            </w:pPr>
            <w:r>
              <w:rPr>
                <w:rFonts w:ascii="Calibri" w:hAnsi="Calibri"/>
                <w:b/>
                <w:color w:val="1A365D"/>
                <w:sz w:val="18"/>
              </w:rPr>
              <w:t>Project Guide / Supervisor:</w:t>
            </w:r>
          </w:p>
        </w:tc>
        <w:tc>
          <w:tcPr>
            <w:tcW w:type="dxa" w:w="6149"/>
            <w:tcMar>
              <w:top w:w="70" w:type="dxa"/>
              <w:bottom w:w="70" w:type="dxa"/>
              <w:left w:w="100" w:type="dxa"/>
              <w:right w:w="100" w:type="dxa"/>
            </w:tcMar>
          </w:tcPr>
          <w:p>
            <w:pPr>
              <w:spacing w:after="0"/>
            </w:pPr>
            <w:r>
              <w:rPr>
                <w:rFonts w:ascii="Calibri" w:hAnsi="Calibri"/>
                <w:color w:val="2D3748"/>
                <w:sz w:val="18"/>
              </w:rPr>
              <w:t>Dr. P. B. Jawade, Associate Professor, Dept. of CSE</w:t>
            </w:r>
          </w:p>
        </w:tc>
      </w:tr>
      <w:tr>
        <w:tc>
          <w:tcPr>
            <w:tcW w:type="dxa" w:w="3600"/>
            <w:shd w:fill="F7FAFC"/>
            <w:tcMar>
              <w:top w:w="70" w:type="dxa"/>
              <w:bottom w:w="70" w:type="dxa"/>
              <w:left w:w="100" w:type="dxa"/>
              <w:right w:w="100" w:type="dxa"/>
            </w:tcMar>
          </w:tcPr>
          <w:p>
            <w:pPr>
              <w:spacing w:after="0"/>
            </w:pPr>
            <w:r>
              <w:rPr>
                <w:rFonts w:ascii="Calibri" w:hAnsi="Calibri"/>
                <w:b/>
                <w:color w:val="1A365D"/>
                <w:sz w:val="18"/>
              </w:rPr>
              <w:t>Student Investigators &amp; Roll Nos:</w:t>
            </w:r>
          </w:p>
        </w:tc>
        <w:tc>
          <w:tcPr>
            <w:tcW w:type="dxa" w:w="6149"/>
            <w:tcMar>
              <w:top w:w="70" w:type="dxa"/>
              <w:bottom w:w="70" w:type="dxa"/>
              <w:left w:w="100" w:type="dxa"/>
              <w:right w:w="100" w:type="dxa"/>
            </w:tcMar>
          </w:tcPr>
          <w:p>
            <w:pPr>
              <w:spacing w:after="0"/>
            </w:pPr>
            <w:r>
              <w:rPr>
                <w:rFonts w:ascii="Calibri" w:hAnsi="Calibri"/>
                <w:color w:val="2D3748"/>
                <w:sz w:val="18"/>
              </w:rPr>
              <w:t>Devika Samudre (Roll No. 19)</w:t>
              <w:br/>
              <w:t>Yash Talmale (Roll No. 73)</w:t>
              <w:br/>
              <w:t>Purshottam Badwaik (Roll No. 39)</w:t>
              <w:br/>
              <w:t>Chhannu Dhuware (Roll No. 17)</w:t>
            </w:r>
          </w:p>
        </w:tc>
      </w:tr>
      <w:tr>
        <w:tc>
          <w:tcPr>
            <w:tcW w:type="dxa" w:w="3600"/>
            <w:shd w:fill="F7FAFC"/>
            <w:tcMar>
              <w:top w:w="70" w:type="dxa"/>
              <w:bottom w:w="70" w:type="dxa"/>
              <w:left w:w="100" w:type="dxa"/>
              <w:right w:w="100" w:type="dxa"/>
            </w:tcMar>
          </w:tcPr>
          <w:p>
            <w:pPr>
              <w:spacing w:after="0"/>
            </w:pPr>
            <w:r>
              <w:rPr>
                <w:rFonts w:ascii="Calibri" w:hAnsi="Calibri"/>
                <w:b/>
                <w:color w:val="1A365D"/>
                <w:sz w:val="18"/>
              </w:rPr>
              <w:t>Implementation Repository:</w:t>
            </w:r>
          </w:p>
        </w:tc>
        <w:tc>
          <w:tcPr>
            <w:tcW w:type="dxa" w:w="6149"/>
            <w:tcMar>
              <w:top w:w="70" w:type="dxa"/>
              <w:bottom w:w="70" w:type="dxa"/>
              <w:left w:w="100" w:type="dxa"/>
              <w:right w:w="100" w:type="dxa"/>
            </w:tcMar>
          </w:tcPr>
          <w:p>
            <w:pPr>
              <w:spacing w:after="0"/>
            </w:pPr>
            <w:r>
              <w:rPr>
                <w:rFonts w:ascii="Calibri" w:hAnsi="Calibri"/>
                <w:color w:val="2D3748"/>
                <w:sz w:val="18"/>
              </w:rPr>
              <w:t>c:/college/Mega_project/Meta_learnHub_Main/MetalearnHub</w:t>
              <w:br/>
              <w:t>Full-Stack Engine (PyTorch, FastAPI, React/TypeScript, ResNet-50)</w:t>
            </w:r>
          </w:p>
        </w:tc>
      </w:tr>
    </w:tbl>
    <w:p>
      <w:r>
        <w:br w:type="page"/>
      </w:r>
    </w:p>
    <w:p>
      <w:pPr>
        <w:keepNext/>
        <w:spacing w:before="280" w:after="80"/>
      </w:pPr>
      <w:r>
        <w:rPr>
          <w:rFonts w:ascii="Calibri" w:hAnsi="Calibri"/>
          <w:b/>
          <w:color w:val="1A365D"/>
          <w:sz w:val="26"/>
        </w:rPr>
        <w:t>UNIT I — DEFINING THE RESEARCH PROBLEM</w:t>
      </w:r>
    </w:p>
    <w:p>
      <w:pPr>
        <w:keepNext/>
        <w:spacing w:before="200" w:after="60"/>
      </w:pPr>
      <w:r>
        <w:rPr>
          <w:rFonts w:ascii="Calibri" w:hAnsi="Calibri"/>
          <w:b/>
          <w:color w:val="2B6CB0"/>
          <w:sz w:val="22"/>
        </w:rPr>
        <w:t>1.1 Project Overview and Motivation</w:t>
      </w:r>
    </w:p>
    <w:p>
      <w:pPr>
        <w:spacing w:before="0" w:after="80" w:line="276" w:lineRule="auto"/>
      </w:pPr>
      <w:r>
        <w:rPr>
          <w:rFonts w:ascii="Calibri" w:hAnsi="Calibri"/>
          <w:color w:val="2D3748"/>
          <w:sz w:val="19"/>
        </w:rPr>
        <w:t>Deep supervised learning has achieved superhuman accuracy in computer vision benchmarks like ImageNet-1K. However, this success is contingent on a fundamental assumption: the availability of thousands of annotated, identically distributed training exemplars per category, mapped to a static, pre-defined classification layer. In critical real-world deployments—including wildlife ecology, agricultural biosecurity, rare pathogen microscopy, and autonomous edge robotics—acquiring thousands of labeled images per species is physically, financially, or temporally infeasible. Furthermore, real-world visual environments are fundamentally open-set and dynamic: novel categories appear constantly, and systems must enroll them rapidly without undergoing catastrophic forgetting or complete backpropagation retraining cycles.</w:t>
      </w:r>
    </w:p>
    <w:p>
      <w:pPr>
        <w:spacing w:before="0" w:after="80" w:line="276" w:lineRule="auto"/>
      </w:pPr>
      <w:r>
        <w:rPr>
          <w:rFonts w:ascii="Calibri" w:hAnsi="Calibri"/>
          <w:color w:val="2D3748"/>
          <w:sz w:val="19"/>
        </w:rPr>
        <w:t>To overcome these bottlenecks, this research project develops MetaLearnHub—an end-to-end open-set few-shot meta-learning framework. MetaLearnHub reformulates visual recognition from traditional empirical risk minimization (ERM) into an episodic metric-adaptation paradigm. The core motivation is to empower computer systems with human-like visual cognitive agility: learning transferable inductive representations from base distribution categories so that previously unseen categories can be accurately recognized from as few as five labeled support exemplars (5-shot learning).</w:t>
      </w:r>
    </w:p>
    <w:p>
      <w:pPr>
        <w:spacing w:before="0" w:after="80" w:line="276" w:lineRule="auto"/>
      </w:pPr>
      <w:r>
        <w:rPr>
          <w:rFonts w:ascii="Calibri" w:hAnsi="Calibri"/>
          <w:b/>
          <w:color w:val="2D3748"/>
          <w:sz w:val="19"/>
        </w:rPr>
        <w:t xml:space="preserve">Scope and Verification Status: </w:t>
      </w:r>
      <w:r>
        <w:rPr>
          <w:rFonts w:ascii="Calibri" w:hAnsi="Calibri"/>
          <w:color w:val="2D3748"/>
          <w:sz w:val="19"/>
        </w:rPr>
        <w:t>Implemented vs. Proposed Features:</w:t>
      </w:r>
    </w:p>
    <w:p>
      <w:pPr>
        <w:pStyle w:val="ListBullet"/>
        <w:spacing w:before="0" w:after="40" w:line="264" w:lineRule="auto"/>
      </w:pPr>
      <w:r>
        <w:rPr>
          <w:rFonts w:ascii="Calibri" w:hAnsi="Calibri"/>
          <w:b/>
          <w:color w:val="2D3748"/>
          <w:sz w:val="19"/>
        </w:rPr>
        <w:t xml:space="preserve">Implemented: </w:t>
      </w:r>
      <w:r>
        <w:rPr>
          <w:rFonts w:ascii="Calibri" w:hAnsi="Calibri"/>
          <w:color w:val="2D3748"/>
          <w:sz w:val="19"/>
        </w:rPr>
        <w:t>Pretrained ResNet-50 feature extractor producing 2048-dimensional unit hypersphere embeddings.</w:t>
      </w:r>
    </w:p>
    <w:p>
      <w:pPr>
        <w:pStyle w:val="ListBullet"/>
        <w:spacing w:before="0" w:after="40" w:line="264" w:lineRule="auto"/>
      </w:pPr>
      <w:r>
        <w:rPr>
          <w:rFonts w:ascii="Calibri" w:hAnsi="Calibri"/>
          <w:b/>
          <w:color w:val="2D3748"/>
          <w:sz w:val="19"/>
        </w:rPr>
        <w:t xml:space="preserve">Implemented: </w:t>
      </w:r>
      <w:r>
        <w:rPr>
          <w:rFonts w:ascii="Calibri" w:hAnsi="Calibri"/>
          <w:color w:val="2D3748"/>
          <w:sz w:val="19"/>
        </w:rPr>
        <w:t>Four distinct meta-learning paradigms: Prototypical Networks (Snell et al. [1]), Matching Networks (Vinyals et al. [2]), Relation Networks (Sung et al. [3]), and First-Order MAML (Finn et al. [4]).</w:t>
      </w:r>
    </w:p>
    <w:p>
      <w:pPr>
        <w:pStyle w:val="ListBullet"/>
        <w:spacing w:before="0" w:after="40" w:line="264" w:lineRule="auto"/>
      </w:pPr>
      <w:r>
        <w:rPr>
          <w:rFonts w:ascii="Calibri" w:hAnsi="Calibri"/>
          <w:b/>
          <w:color w:val="2D3748"/>
          <w:sz w:val="19"/>
        </w:rPr>
        <w:t xml:space="preserve">Implemented: </w:t>
      </w:r>
      <w:r>
        <w:rPr>
          <w:rFonts w:ascii="Calibri" w:hAnsi="Calibri"/>
          <w:color w:val="2D3748"/>
          <w:sz w:val="19"/>
        </w:rPr>
        <w:t>Consensus Ensemble probability fusion combining centroid distance, exemplar memory attention, non-linear deep comparator scoring, and inner-loop gradient adaptation.</w:t>
      </w:r>
    </w:p>
    <w:p>
      <w:pPr>
        <w:pStyle w:val="ListBullet"/>
        <w:spacing w:before="0" w:after="40" w:line="264" w:lineRule="auto"/>
      </w:pPr>
      <w:r>
        <w:rPr>
          <w:rFonts w:ascii="Calibri" w:hAnsi="Calibri"/>
          <w:b/>
          <w:color w:val="2D3748"/>
          <w:sz w:val="19"/>
        </w:rPr>
        <w:t xml:space="preserve">Implemented: </w:t>
      </w:r>
      <w:r>
        <w:rPr>
          <w:rFonts w:ascii="Calibri" w:hAnsi="Calibri"/>
          <w:color w:val="2D3748"/>
          <w:sz w:val="19"/>
        </w:rPr>
        <w:t>Persistent class-incremental registry allowing on-the-fly enrollment of novel categories without backbone retraining or parameter drift.</w:t>
      </w:r>
    </w:p>
    <w:p>
      <w:pPr>
        <w:pStyle w:val="ListBullet"/>
        <w:spacing w:before="0" w:after="40" w:line="264" w:lineRule="auto"/>
      </w:pPr>
      <w:r>
        <w:rPr>
          <w:rFonts w:ascii="Calibri" w:hAnsi="Calibri"/>
          <w:b/>
          <w:color w:val="2D3748"/>
          <w:sz w:val="19"/>
        </w:rPr>
        <w:t xml:space="preserve">Implemented: </w:t>
      </w:r>
      <w:r>
        <w:rPr>
          <w:rFonts w:ascii="Calibri" w:hAnsi="Calibri"/>
          <w:color w:val="2D3748"/>
          <w:sz w:val="19"/>
        </w:rPr>
        <w:t>Tri-gate adaptive open-set out-of-distribution (OOD) rejection mechanism enforcing hyperspherical intra-class radius bounding and minimum certainty thresholding (confidence &gt;= 50.0%).</w:t>
      </w:r>
    </w:p>
    <w:p>
      <w:pPr>
        <w:pStyle w:val="ListBullet"/>
        <w:spacing w:before="0" w:after="40" w:line="264" w:lineRule="auto"/>
      </w:pPr>
      <w:r>
        <w:rPr>
          <w:rFonts w:ascii="Calibri" w:hAnsi="Calibri"/>
          <w:b/>
          <w:color w:val="2D3748"/>
          <w:sz w:val="19"/>
        </w:rPr>
        <w:t xml:space="preserve">Implemented: </w:t>
      </w:r>
      <w:r>
        <w:rPr>
          <w:rFonts w:ascii="Calibri" w:hAnsi="Calibri"/>
          <w:color w:val="2D3748"/>
          <w:sz w:val="19"/>
        </w:rPr>
        <w:t>Head-to-head scientific benchmark suite comparing few-shot meta-learning against conventional transfer-learned supervised linear probes (ERM baseline) on the exact same support data.</w:t>
      </w:r>
    </w:p>
    <w:p>
      <w:pPr>
        <w:pStyle w:val="ListBullet"/>
        <w:spacing w:before="0" w:after="40" w:line="264" w:lineRule="auto"/>
      </w:pPr>
      <w:r>
        <w:rPr>
          <w:rFonts w:ascii="Calibri" w:hAnsi="Calibri"/>
          <w:b/>
          <w:color w:val="2D3748"/>
          <w:sz w:val="19"/>
        </w:rPr>
        <w:t xml:space="preserve">Proposed (Future Phase): </w:t>
      </w:r>
      <w:r>
        <w:rPr>
          <w:rFonts w:ascii="Calibri" w:hAnsi="Calibri"/>
          <w:color w:val="2D3748"/>
          <w:sz w:val="19"/>
        </w:rPr>
        <w:t>Self-supervised Vision Transformer (ViT / DINOv2) patch-token feature concatenation and multi-modal cross-attention heads.</w:t>
      </w:r>
    </w:p>
    <w:p>
      <w:pPr>
        <w:keepNext/>
        <w:spacing w:before="200" w:after="60"/>
      </w:pPr>
      <w:r>
        <w:rPr>
          <w:rFonts w:ascii="Calibri" w:hAnsi="Calibri"/>
          <w:b/>
          <w:color w:val="2B6CB0"/>
          <w:sz w:val="22"/>
        </w:rPr>
        <w:t>1.2 Research Problem, Motivation, and Research Gap</w:t>
      </w:r>
    </w:p>
    <w:p>
      <w:pPr>
        <w:spacing w:before="0" w:after="80" w:line="276" w:lineRule="auto"/>
      </w:pPr>
      <w:r>
        <w:rPr>
          <w:rFonts w:ascii="Calibri" w:hAnsi="Calibri"/>
          <w:color w:val="2D3748"/>
          <w:sz w:val="19"/>
        </w:rPr>
        <w:t>The core research problem addressed by this study is: How can a deep visual recognition architecture achieve high classification accuracy on novel, previously un-encountered visual categories using fewer than six labeled examples, while simultaneously preventing catastrophic forgetting of base categories and autonomously rejecting out-of-distribution open-set visual anomalies without triggering high-confidence false-positive classifications?</w:t>
      </w:r>
    </w:p>
    <w:p>
      <w:pPr>
        <w:spacing w:before="0" w:after="80" w:line="276" w:lineRule="auto"/>
      </w:pPr>
      <w:r>
        <w:rPr>
          <w:rFonts w:ascii="Calibri" w:hAnsi="Calibri"/>
          <w:b/>
          <w:color w:val="2D3748"/>
          <w:sz w:val="19"/>
        </w:rPr>
        <w:t xml:space="preserve">Deficiencies in Conventional Approaches: </w:t>
      </w:r>
      <w:r>
        <w:rPr>
          <w:rFonts w:ascii="Calibri" w:hAnsi="Calibri"/>
          <w:color w:val="2D3748"/>
          <w:sz w:val="19"/>
        </w:rPr>
        <w:t>Limitations of Conventional Supervised Approaches:</w:t>
      </w:r>
    </w:p>
    <w:p>
      <w:pPr>
        <w:pStyle w:val="ListBullet"/>
        <w:spacing w:before="0" w:after="40" w:line="264" w:lineRule="auto"/>
      </w:pPr>
      <w:r>
        <w:rPr>
          <w:rFonts w:ascii="Calibri" w:hAnsi="Calibri"/>
          <w:b/>
          <w:color w:val="2D3748"/>
          <w:sz w:val="19"/>
        </w:rPr>
        <w:t xml:space="preserve">1. </w:t>
      </w:r>
      <w:r>
        <w:rPr>
          <w:rFonts w:ascii="Calibri" w:hAnsi="Calibri"/>
          <w:color w:val="2D3748"/>
          <w:sz w:val="19"/>
        </w:rPr>
        <w:t>Over-Parameterization on Small Samples: A conventional linear classifier on a 2048-dimensional backbone requires 28,686 parameters across 14 classes. Fitting these weights on 5-30 images yields extreme empirical overfitting (96.2% training accuracy collapsing to ~25-50% test accuracy).</w:t>
      </w:r>
    </w:p>
    <w:p>
      <w:pPr>
        <w:pStyle w:val="ListBullet"/>
        <w:spacing w:before="0" w:after="40" w:line="264" w:lineRule="auto"/>
      </w:pPr>
      <w:r>
        <w:rPr>
          <w:rFonts w:ascii="Calibri" w:hAnsi="Calibri"/>
          <w:b/>
          <w:color w:val="2D3748"/>
          <w:sz w:val="19"/>
        </w:rPr>
        <w:t xml:space="preserve">2. </w:t>
      </w:r>
      <w:r>
        <w:rPr>
          <w:rFonts w:ascii="Calibri" w:hAnsi="Calibri"/>
          <w:color w:val="2D3748"/>
          <w:sz w:val="19"/>
        </w:rPr>
        <w:t>Closed-Set Architectural Lock: Standard softmax layers possess a fixed dimensionality (C classes). They are mathematically incapable of outputting an unseen category or rejecting an alien input, forcing a false positive on outliers.</w:t>
      </w:r>
    </w:p>
    <w:p>
      <w:pPr>
        <w:pStyle w:val="ListBullet"/>
        <w:spacing w:before="0" w:after="40" w:line="264" w:lineRule="auto"/>
      </w:pPr>
      <w:r>
        <w:rPr>
          <w:rFonts w:ascii="Calibri" w:hAnsi="Calibri"/>
          <w:b/>
          <w:color w:val="2D3748"/>
          <w:sz w:val="19"/>
        </w:rPr>
        <w:t xml:space="preserve">3. </w:t>
      </w:r>
      <w:r>
        <w:rPr>
          <w:rFonts w:ascii="Calibri" w:hAnsi="Calibri"/>
          <w:color w:val="2D3748"/>
          <w:sz w:val="19"/>
        </w:rPr>
        <w:t>Catastrophic Forgetting &amp; Retraining Latency: Adding a single class in conventional ML requires architectural modification and multiple epochs of gradient descent (taking 15-60 seconds), degrading performance on previously learned categories.</w:t>
      </w:r>
    </w:p>
    <w:tbl>
      <w:tblPr>
        <w:tblW w:type="auto" w:w="0"/>
        <w:jc w:val="center"/>
        <w:tblLayout w:type="fixed"/>
        <w:tblLook w:firstColumn="1" w:firstRow="1" w:lastColumn="0" w:lastRow="0" w:noHBand="0" w:noVBand="1" w:val="04A0"/>
      </w:tblPr>
      <w:tblGrid>
        <w:gridCol w:w="9749"/>
      </w:tblGrid>
      <w:tr>
        <w:tc>
          <w:tcPr>
            <w:tcW w:type="dxa" w:w="9749"/>
            <w:shd w:fill="F0F4F8"/>
            <w:tcMar>
              <w:top w:w="80" w:type="dxa"/>
              <w:bottom w:w="80" w:type="dxa"/>
              <w:left w:w="120" w:type="dxa"/>
              <w:right w:w="120" w:type="dxa"/>
            </w:tcMar>
            <w:tcBorders>
              <w:left w:val="single" w:sz="18" w:space="0" w:color="2B6CB0"/>
              <w:top w:val="none"/>
              <w:right w:val="none"/>
              <w:bottom w:val="none"/>
            </w:tcBorders>
          </w:tcPr>
          <w:p>
            <w:pPr>
              <w:spacing w:before="40" w:after="40"/>
            </w:pPr>
            <w:r>
              <w:rPr>
                <w:rFonts w:ascii="Calibri" w:hAnsi="Calibri"/>
                <w:b/>
                <w:color w:val="2B6CB0"/>
                <w:sz w:val="18"/>
              </w:rPr>
              <w:t xml:space="preserve">IDENTIFIED RESEARCH GAP: </w:t>
            </w:r>
            <w:r>
              <w:rPr>
                <w:rFonts w:ascii="Calibri" w:hAnsi="Calibri"/>
                <w:color w:val="2D3748"/>
                <w:sz w:val="18"/>
              </w:rPr>
              <w:t>The critical Research Gap identified in current academic literature lies at the intersection of Few-Shot Learning (FSL) and Open-Set Recognition (OSR). Standard FSL benchmarks (e.g., miniImageNet) artificially operate as closed-set N-way evaluation episodes, forcing queries to belong to one of the N classes. Conversely, standard OSR methods assume extensive training samples per known class. A severe empirical gap exists in unified systems capable of simultaneous dynamic few-shot class enrollment (K &lt;= 5) and rigorous hyperspherical open-set outlier rejection alongside head-to-head empirical comparison with conventional baselines.</w:t>
            </w:r>
          </w:p>
        </w:tc>
      </w:tr>
    </w:tbl>
    <w:p>
      <w:pPr>
        <w:spacing w:after="40"/>
      </w:pPr>
    </w:p>
    <w:p>
      <w:pPr>
        <w:keepNext/>
        <w:spacing w:before="200" w:after="60"/>
      </w:pPr>
      <w:r>
        <w:rPr>
          <w:rFonts w:ascii="Calibri" w:hAnsi="Calibri"/>
          <w:b/>
          <w:color w:val="2B6CB0"/>
          <w:sz w:val="22"/>
        </w:rPr>
        <w:t>1.3 Research Chain</w:t>
      </w:r>
    </w:p>
    <w:p>
      <w:pPr>
        <w:spacing w:before="0" w:after="80" w:line="276" w:lineRule="auto"/>
      </w:pPr>
      <w:r>
        <w:rPr>
          <w:rFonts w:ascii="Calibri" w:hAnsi="Calibri"/>
          <w:color w:val="2D3748"/>
          <w:sz w:val="19"/>
        </w:rPr>
        <w:t>The foundational research logic connecting topic to inquiry is systematically structured in Table 1.</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874"/>
        <w:gridCol w:w="4874"/>
      </w:tblGrid>
      <w:tr>
        <w:tc>
          <w:tcPr>
            <w:tcW w:type="dxa" w:w="2592"/>
            <w:shd w:fill="EBF8FF"/>
            <w:tcMar>
              <w:top w:w="70" w:type="dxa"/>
              <w:bottom w:w="70" w:type="dxa"/>
              <w:left w:w="100" w:type="dxa"/>
              <w:right w:w="100" w:type="dxa"/>
            </w:tcMar>
          </w:tcPr>
          <w:p>
            <w:r>
              <w:rPr>
                <w:rFonts w:ascii="Calibri" w:hAnsi="Calibri"/>
                <w:b/>
                <w:color w:val="1A365D"/>
                <w:sz w:val="18"/>
              </w:rPr>
              <w:t>Research Dimension</w:t>
            </w:r>
          </w:p>
        </w:tc>
        <w:tc>
          <w:tcPr>
            <w:tcW w:type="dxa" w:w="7157"/>
            <w:shd w:fill="EBF8FF"/>
            <w:tcMar>
              <w:top w:w="70" w:type="dxa"/>
              <w:bottom w:w="70" w:type="dxa"/>
              <w:left w:w="100" w:type="dxa"/>
              <w:right w:w="100" w:type="dxa"/>
            </w:tcMar>
          </w:tcPr>
          <w:p>
            <w:r>
              <w:rPr>
                <w:rFonts w:ascii="Calibri" w:hAnsi="Calibri"/>
                <w:b/>
                <w:color w:val="1A365D"/>
                <w:sz w:val="18"/>
              </w:rPr>
              <w:t>Project Implementation Realization (MetaLearnHub)</w:t>
            </w:r>
          </w:p>
        </w:tc>
      </w:tr>
      <w:tr>
        <w:tc>
          <w:tcPr>
            <w:tcW w:type="dxa" w:w="2592"/>
            <w:shd w:fill="F7FAFC"/>
            <w:tcMar>
              <w:top w:w="70" w:type="dxa"/>
              <w:bottom w:w="70" w:type="dxa"/>
              <w:left w:w="100" w:type="dxa"/>
              <w:right w:w="100" w:type="dxa"/>
            </w:tcMar>
          </w:tcPr>
          <w:p>
            <w:r>
              <w:rPr>
                <w:rFonts w:ascii="Calibri" w:hAnsi="Calibri"/>
                <w:b/>
                <w:color w:val="2D3748"/>
                <w:sz w:val="18"/>
              </w:rPr>
              <w:t>Project Topic</w:t>
            </w:r>
          </w:p>
        </w:tc>
        <w:tc>
          <w:tcPr>
            <w:tcW w:type="dxa" w:w="7157"/>
            <w:shd w:fill="F7FAFC"/>
            <w:tcMar>
              <w:top w:w="70" w:type="dxa"/>
              <w:bottom w:w="70" w:type="dxa"/>
              <w:left w:w="100" w:type="dxa"/>
              <w:right w:w="100" w:type="dxa"/>
            </w:tcMar>
          </w:tcPr>
          <w:p>
            <w:r>
              <w:rPr>
                <w:rFonts w:ascii="Calibri" w:hAnsi="Calibri"/>
                <w:b w:val="0"/>
                <w:color w:val="2D3748"/>
                <w:sz w:val="18"/>
              </w:rPr>
              <w:t>Open-Set Few-Shot Meta-Learning for Dynamic Class-Incremental Visual Recognition</w:t>
            </w:r>
          </w:p>
        </w:tc>
      </w:tr>
      <w:tr>
        <w:tc>
          <w:tcPr>
            <w:tcW w:type="dxa" w:w="2592"/>
            <w:shd w:fill="FFFFFF"/>
            <w:tcMar>
              <w:top w:w="70" w:type="dxa"/>
              <w:bottom w:w="70" w:type="dxa"/>
              <w:left w:w="100" w:type="dxa"/>
              <w:right w:w="100" w:type="dxa"/>
            </w:tcMar>
          </w:tcPr>
          <w:p>
            <w:r>
              <w:rPr>
                <w:rFonts w:ascii="Calibri" w:hAnsi="Calibri"/>
                <w:b/>
                <w:color w:val="2D3748"/>
                <w:sz w:val="18"/>
              </w:rPr>
              <w:t>Research Problem</w:t>
            </w:r>
          </w:p>
        </w:tc>
        <w:tc>
          <w:tcPr>
            <w:tcW w:type="dxa" w:w="7157"/>
            <w:shd w:fill="FFFFFF"/>
            <w:tcMar>
              <w:top w:w="70" w:type="dxa"/>
              <w:bottom w:w="70" w:type="dxa"/>
              <w:left w:w="100" w:type="dxa"/>
              <w:right w:w="100" w:type="dxa"/>
            </w:tcMar>
          </w:tcPr>
          <w:p>
            <w:r>
              <w:rPr>
                <w:rFonts w:ascii="Calibri" w:hAnsi="Calibri"/>
                <w:b w:val="0"/>
                <w:color w:val="2D3748"/>
                <w:sz w:val="18"/>
              </w:rPr>
              <w:t>Inability of conventional ERM deep classifiers to generalize from extremely small sample sizes (K &lt;= 5) and their vulnerability to closed-set false positives when presented with unseen out-of-distribution classes.</w:t>
            </w:r>
          </w:p>
        </w:tc>
      </w:tr>
      <w:tr>
        <w:tc>
          <w:tcPr>
            <w:tcW w:type="dxa" w:w="2592"/>
            <w:shd w:fill="F7FAFC"/>
            <w:tcMar>
              <w:top w:w="70" w:type="dxa"/>
              <w:bottom w:w="70" w:type="dxa"/>
              <w:left w:w="100" w:type="dxa"/>
              <w:right w:w="100" w:type="dxa"/>
            </w:tcMar>
          </w:tcPr>
          <w:p>
            <w:r>
              <w:rPr>
                <w:rFonts w:ascii="Calibri" w:hAnsi="Calibri"/>
                <w:b/>
                <w:color w:val="2D3748"/>
                <w:sz w:val="18"/>
              </w:rPr>
              <w:t>Research Gap</w:t>
            </w:r>
          </w:p>
        </w:tc>
        <w:tc>
          <w:tcPr>
            <w:tcW w:type="dxa" w:w="7157"/>
            <w:shd w:fill="F7FAFC"/>
            <w:tcMar>
              <w:top w:w="70" w:type="dxa"/>
              <w:bottom w:w="70" w:type="dxa"/>
              <w:left w:w="100" w:type="dxa"/>
              <w:right w:w="100" w:type="dxa"/>
            </w:tcMar>
          </w:tcPr>
          <w:p>
            <w:r>
              <w:rPr>
                <w:rFonts w:ascii="Calibri" w:hAnsi="Calibri"/>
                <w:b w:val="0"/>
                <w:color w:val="2D3748"/>
                <w:sz w:val="18"/>
              </w:rPr>
              <w:t>Lack of an integrated architectural framework combining dynamic few-shot class enrollment, multi-algorithmic meta-learning consensus (ProtoNet, MatchingNet, RelationNet, MAML), and mathematically bounded open-set rejection.</w:t>
            </w:r>
          </w:p>
        </w:tc>
      </w:tr>
      <w:tr>
        <w:tc>
          <w:tcPr>
            <w:tcW w:type="dxa" w:w="2592"/>
            <w:shd w:fill="FFFFFF"/>
            <w:tcMar>
              <w:top w:w="70" w:type="dxa"/>
              <w:bottom w:w="70" w:type="dxa"/>
              <w:left w:w="100" w:type="dxa"/>
              <w:right w:w="100" w:type="dxa"/>
            </w:tcMar>
          </w:tcPr>
          <w:p>
            <w:r>
              <w:rPr>
                <w:rFonts w:ascii="Calibri" w:hAnsi="Calibri"/>
                <w:b/>
                <w:color w:val="2D3748"/>
                <w:sz w:val="18"/>
              </w:rPr>
              <w:t>Research Objectives</w:t>
            </w:r>
          </w:p>
        </w:tc>
        <w:tc>
          <w:tcPr>
            <w:tcW w:type="dxa" w:w="7157"/>
            <w:shd w:fill="FFFFFF"/>
            <w:tcMar>
              <w:top w:w="70" w:type="dxa"/>
              <w:bottom w:w="70" w:type="dxa"/>
              <w:left w:w="100" w:type="dxa"/>
              <w:right w:w="100" w:type="dxa"/>
            </w:tcMar>
          </w:tcPr>
          <w:p>
            <w:r>
              <w:rPr>
                <w:rFonts w:ascii="Calibri" w:hAnsi="Calibri"/>
                <w:b w:val="0"/>
                <w:color w:val="2D3748"/>
                <w:sz w:val="18"/>
              </w:rPr>
              <w:t>RO1: Develop class-incremental metric registry; RO2: Engineer open-set rejection gates; RO3: Implement 4-algorithm meta-learning consensus; RO4: Perform empirical baseline benchmarking.</w:t>
            </w:r>
          </w:p>
        </w:tc>
      </w:tr>
      <w:tr>
        <w:tc>
          <w:tcPr>
            <w:tcW w:type="dxa" w:w="2592"/>
            <w:shd w:fill="F7FAFC"/>
            <w:tcMar>
              <w:top w:w="70" w:type="dxa"/>
              <w:bottom w:w="70" w:type="dxa"/>
              <w:left w:w="100" w:type="dxa"/>
              <w:right w:w="100" w:type="dxa"/>
            </w:tcMar>
          </w:tcPr>
          <w:p>
            <w:r>
              <w:rPr>
                <w:rFonts w:ascii="Calibri" w:hAnsi="Calibri"/>
                <w:b/>
                <w:color w:val="2D3748"/>
                <w:sz w:val="18"/>
              </w:rPr>
              <w:t>Research Questions</w:t>
            </w:r>
          </w:p>
        </w:tc>
        <w:tc>
          <w:tcPr>
            <w:tcW w:type="dxa" w:w="7157"/>
            <w:shd w:fill="F7FAFC"/>
            <w:tcMar>
              <w:top w:w="70" w:type="dxa"/>
              <w:bottom w:w="70" w:type="dxa"/>
              <w:left w:w="100" w:type="dxa"/>
              <w:right w:w="100" w:type="dxa"/>
            </w:tcMar>
          </w:tcPr>
          <w:p>
            <w:r>
              <w:rPr>
                <w:rFonts w:ascii="Calibri" w:hAnsi="Calibri"/>
                <w:b w:val="0"/>
                <w:color w:val="2D3748"/>
                <w:sz w:val="18"/>
              </w:rPr>
              <w:t>RQ1: Can metric centroid adaptation outperform conventional supervised ERM on 5-shot data? RQ2: Does hyperspherical radius bounding effectively eliminate open-set false positives? RQ3: Does multi-algorithmic consensus improve accuracy over single models? RQ4: What is the computational latency trade-off?</w:t>
            </w:r>
          </w:p>
        </w:tc>
      </w:tr>
    </w:tbl>
    <w:p>
      <w:pPr>
        <w:spacing w:after="160"/>
      </w:pPr>
      <w:r>
        <w:rPr>
          <w:rFonts w:ascii="Calibri" w:hAnsi="Calibri"/>
          <w:i/>
          <w:color w:val="718096"/>
          <w:sz w:val="17"/>
        </w:rPr>
        <w:t>Table 1: Research Chain Linking Topic, Problem, Gap, Objectives, and Inquiries.</w:t>
      </w:r>
    </w:p>
    <w:p>
      <w:pPr>
        <w:keepNext/>
        <w:spacing w:before="200" w:after="60"/>
      </w:pPr>
      <w:r>
        <w:rPr>
          <w:rFonts w:ascii="Calibri" w:hAnsi="Calibri"/>
          <w:b/>
          <w:color w:val="2B6CB0"/>
          <w:sz w:val="22"/>
        </w:rPr>
        <w:t>1.4 Research Objectives</w:t>
      </w:r>
    </w:p>
    <w:p>
      <w:pPr>
        <w:spacing w:before="0" w:after="80" w:line="276" w:lineRule="auto"/>
      </w:pPr>
      <w:r>
        <w:rPr>
          <w:rFonts w:ascii="Calibri" w:hAnsi="Calibri"/>
          <w:color w:val="2D3748"/>
          <w:sz w:val="19"/>
        </w:rPr>
        <w:t>The project is governed by four specific, measurable, achievable, and realistic research objectives:</w:t>
      </w:r>
    </w:p>
    <w:p>
      <w:pPr>
        <w:pStyle w:val="ListBullet"/>
        <w:spacing w:before="0" w:after="40" w:line="264" w:lineRule="auto"/>
      </w:pPr>
      <w:r>
        <w:rPr>
          <w:rFonts w:ascii="Calibri" w:hAnsi="Calibri"/>
          <w:b/>
          <w:color w:val="2D3748"/>
          <w:sz w:val="19"/>
        </w:rPr>
        <w:t xml:space="preserve">RO1 (Incremental Enrollment): </w:t>
      </w:r>
      <w:r>
        <w:rPr>
          <w:rFonts w:ascii="Calibri" w:hAnsi="Calibri"/>
          <w:color w:val="2D3748"/>
          <w:sz w:val="19"/>
        </w:rPr>
        <w:t>Design and implement a persistent class-incremental registry capable of enrolling novel visual categories dynamically using exactly K = 5 support exemplars, achieving sub-second prototype construction without updating backbone feature weights.</w:t>
      </w:r>
    </w:p>
    <w:p>
      <w:pPr>
        <w:pStyle w:val="ListBullet"/>
        <w:spacing w:before="0" w:after="40" w:line="264" w:lineRule="auto"/>
      </w:pPr>
      <w:r>
        <w:rPr>
          <w:rFonts w:ascii="Calibri" w:hAnsi="Calibri"/>
          <w:b/>
          <w:color w:val="2D3748"/>
          <w:sz w:val="19"/>
        </w:rPr>
        <w:t xml:space="preserve">RO2 (Open-Set Outlier Rejection): </w:t>
      </w:r>
      <w:r>
        <w:rPr>
          <w:rFonts w:ascii="Calibri" w:hAnsi="Calibri"/>
          <w:color w:val="2D3748"/>
          <w:sz w:val="19"/>
        </w:rPr>
        <w:t>Formulate, calibrate, and validate a tri-gate open-set rejection mechanism utilizing hyperspherical intra-class radius thresholding, inter-class margin verification, and certainty gating (confidence &gt;= 50.0%) to reject out-of-distribution queries with 0.0% false acceptance.</w:t>
      </w:r>
    </w:p>
    <w:p>
      <w:pPr>
        <w:pStyle w:val="ListBullet"/>
        <w:spacing w:before="0" w:after="40" w:line="264" w:lineRule="auto"/>
      </w:pPr>
      <w:r>
        <w:rPr>
          <w:rFonts w:ascii="Calibri" w:hAnsi="Calibri"/>
          <w:b/>
          <w:color w:val="2D3748"/>
          <w:sz w:val="19"/>
        </w:rPr>
        <w:t xml:space="preserve">RO3 (Multi-Algorithm Framework): </w:t>
      </w:r>
      <w:r>
        <w:rPr>
          <w:rFonts w:ascii="Calibri" w:hAnsi="Calibri"/>
          <w:color w:val="2D3748"/>
          <w:sz w:val="19"/>
        </w:rPr>
        <w:t>Implement and integrate four distinct meta-learning paradigms (Prototypical Networks, Matching Networks, Relation Networks, and MAML) alongside a calibrated Consensus Ensemble Head to evaluate variance reduction across diverse animal categories.</w:t>
      </w:r>
    </w:p>
    <w:p>
      <w:pPr>
        <w:pStyle w:val="ListBullet"/>
        <w:spacing w:before="0" w:after="40" w:line="264" w:lineRule="auto"/>
      </w:pPr>
      <w:r>
        <w:rPr>
          <w:rFonts w:ascii="Calibri" w:hAnsi="Calibri"/>
          <w:b/>
          <w:color w:val="2D3748"/>
          <w:sz w:val="19"/>
        </w:rPr>
        <w:t xml:space="preserve">RO4 (Empirical Benchmarking): </w:t>
      </w:r>
      <w:r>
        <w:rPr>
          <w:rFonts w:ascii="Calibri" w:hAnsi="Calibri"/>
          <w:color w:val="2D3748"/>
          <w:sz w:val="19"/>
        </w:rPr>
        <w:t>Conduct rigorous empirical benchmarking comparing the developed few-shot meta-learning framework against a conventional supervised transfer learning classifier (ResNet-50 linear probe), quantifying adaptation latency, overfitting ratios, and classification accuracy.</w:t>
      </w:r>
    </w:p>
    <w:p>
      <w:pPr>
        <w:keepNext/>
        <w:spacing w:before="200" w:after="60"/>
      </w:pPr>
      <w:r>
        <w:rPr>
          <w:rFonts w:ascii="Calibri" w:hAnsi="Calibri"/>
          <w:b/>
          <w:color w:val="2B6CB0"/>
          <w:sz w:val="22"/>
        </w:rPr>
        <w:t>1.5 Research Questions and Hypotheses</w:t>
      </w:r>
    </w:p>
    <w:p>
      <w:pPr>
        <w:spacing w:before="0" w:after="80" w:line="276" w:lineRule="auto"/>
      </w:pPr>
      <w:r>
        <w:rPr>
          <w:rFonts w:ascii="Calibri" w:hAnsi="Calibri"/>
          <w:color w:val="2D3748"/>
          <w:sz w:val="19"/>
        </w:rPr>
        <w:t>To validate the research objectives, the following four research questions (RQs) and formal statistical hypotheses are formulated:</w:t>
      </w:r>
    </w:p>
    <w:p>
      <w:pPr>
        <w:pStyle w:val="ListBullet"/>
        <w:spacing w:before="0" w:after="40" w:line="264" w:lineRule="auto"/>
      </w:pPr>
      <w:r>
        <w:rPr>
          <w:rFonts w:ascii="Calibri" w:hAnsi="Calibri"/>
          <w:b/>
          <w:color w:val="2D3748"/>
          <w:sz w:val="19"/>
        </w:rPr>
        <w:t xml:space="preserve">RQ1 (Comparative Generalization): </w:t>
      </w:r>
      <w:r>
        <w:rPr>
          <w:rFonts w:ascii="Calibri" w:hAnsi="Calibri"/>
          <w:color w:val="2D3748"/>
          <w:sz w:val="19"/>
        </w:rPr>
        <w:t>Does hyperspherical prototype projection achieve statistically superior classification accuracy over conventional supervised linear probing when evaluating an unseen novel category (Rabbit) with small support size (K = 5)?</w:t>
      </w:r>
    </w:p>
    <w:p>
      <w:pPr>
        <w:spacing w:before="0" w:after="80" w:line="276" w:lineRule="auto"/>
      </w:pPr>
      <w:r>
        <w:rPr>
          <w:rFonts w:ascii="Calibri" w:hAnsi="Calibri"/>
          <w:color w:val="2D3748"/>
          <w:sz w:val="19"/>
        </w:rPr>
        <w:t>• Null Hypothesis (H1_0): Classification accuracy of Few-Shot Meta-Learning is less than or equal to that of the Conventional Supervised Baseline on 5-shot unseen classes (Acc_FS &lt;= Acc_Conv).</w:t>
        <w:br/>
        <w:t>• Alternative Hypothesis (H1_1): Classification accuracy of Few-Shot Meta-Learning is significantly higher than that of Conventional Supervised Baseline (Acc_FS &gt; Acc_Conv).</w:t>
      </w:r>
    </w:p>
    <w:p>
      <w:pPr>
        <w:pStyle w:val="ListBullet"/>
        <w:spacing w:before="0" w:after="40" w:line="264" w:lineRule="auto"/>
      </w:pPr>
      <w:r>
        <w:rPr>
          <w:rFonts w:ascii="Calibri" w:hAnsi="Calibri"/>
          <w:b/>
          <w:color w:val="2D3748"/>
          <w:sz w:val="19"/>
        </w:rPr>
        <w:t xml:space="preserve">RQ2 (Open-Set Reliability): </w:t>
      </w:r>
      <w:r>
        <w:rPr>
          <w:rFonts w:ascii="Calibri" w:hAnsi="Calibri"/>
          <w:color w:val="2D3748"/>
          <w:sz w:val="19"/>
        </w:rPr>
        <w:t>Can a tri-gate open-set decision boundary (distance &lt;= radius, relative gap &gt;= 0.05, confidence &gt;= 0.50) successfully identify and reject out-of-distribution visual anomalies without prior negative exposure?</w:t>
      </w:r>
    </w:p>
    <w:p>
      <w:pPr>
        <w:spacing w:before="0" w:after="80" w:line="276" w:lineRule="auto"/>
      </w:pPr>
      <w:r>
        <w:rPr>
          <w:rFonts w:ascii="Calibri" w:hAnsi="Calibri"/>
          <w:color w:val="2D3748"/>
          <w:sz w:val="19"/>
        </w:rPr>
        <w:t>• Null Hypothesis (H2_0): The open-set false acceptance rate (FAR) of the tri-gate boundary on unseen anomalies is greater than 10% (FAR &gt;= 0.10).</w:t>
        <w:br/>
        <w:t>• Alternative Hypothesis (H2_1): The tri-gate boundary achieves near-zero false acceptance (FAR &lt; 0.01) while maintaining positive true acceptance on registered classes.</w:t>
      </w:r>
    </w:p>
    <w:p>
      <w:pPr>
        <w:pStyle w:val="ListBullet"/>
        <w:spacing w:before="0" w:after="40" w:line="264" w:lineRule="auto"/>
      </w:pPr>
      <w:r>
        <w:rPr>
          <w:rFonts w:ascii="Calibri" w:hAnsi="Calibri"/>
          <w:b/>
          <w:color w:val="2D3748"/>
          <w:sz w:val="19"/>
        </w:rPr>
        <w:t xml:space="preserve">RQ3 (Algorithmic Ensembling): </w:t>
      </w:r>
      <w:r>
        <w:rPr>
          <w:rFonts w:ascii="Calibri" w:hAnsi="Calibri"/>
          <w:color w:val="2D3748"/>
          <w:sz w:val="19"/>
        </w:rPr>
        <w:t>Does a four-way consensus ensemble (ProtoNet + MatchingNet + RelationNet + MAML) provide higher classification confidence and lower prediction variance than any individual meta-learning algorithm evaluated in isolation?</w:t>
      </w:r>
    </w:p>
    <w:p>
      <w:pPr>
        <w:pStyle w:val="ListBullet"/>
        <w:spacing w:before="0" w:after="40" w:line="264" w:lineRule="auto"/>
      </w:pPr>
      <w:r>
        <w:rPr>
          <w:rFonts w:ascii="Calibri" w:hAnsi="Calibri"/>
          <w:b/>
          <w:color w:val="2D3748"/>
          <w:sz w:val="19"/>
        </w:rPr>
        <w:t xml:space="preserve">RQ4 (Latency &amp; Efficiency): </w:t>
      </w:r>
      <w:r>
        <w:rPr>
          <w:rFonts w:ascii="Calibri" w:hAnsi="Calibri"/>
          <w:color w:val="2D3748"/>
          <w:sz w:val="19"/>
        </w:rPr>
        <w:t>What is the operational latency trade-off between instant metric centroid adaptation (O(1) backprop-free) versus inner-loop gradient adaptation (MAML) and conventional retraining?</w:t>
      </w:r>
    </w:p>
    <w:p>
      <w:pPr>
        <w:keepNext/>
        <w:spacing w:before="200" w:after="60"/>
      </w:pPr>
      <w:r>
        <w:rPr>
          <w:rFonts w:ascii="Calibri" w:hAnsi="Calibri"/>
          <w:b/>
          <w:color w:val="2B6CB0"/>
          <w:sz w:val="22"/>
        </w:rPr>
        <w:t>1.6 Key Variables and Operational Definitions</w:t>
      </w:r>
    </w:p>
    <w:p>
      <w:pPr>
        <w:spacing w:before="0" w:after="80" w:line="276" w:lineRule="auto"/>
      </w:pPr>
      <w:r>
        <w:rPr>
          <w:rFonts w:ascii="Calibri" w:hAnsi="Calibri"/>
          <w:color w:val="2D3748"/>
          <w:sz w:val="19"/>
        </w:rPr>
        <w:t>Table 2 defines the operational variables, measurement scales, and mathematical criteria governing the experimental evaluation.</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950"/>
        <w:gridCol w:w="1950"/>
        <w:gridCol w:w="1950"/>
        <w:gridCol w:w="1950"/>
        <w:gridCol w:w="1950"/>
      </w:tblGrid>
      <w:tr>
        <w:tc>
          <w:tcPr>
            <w:tcW w:type="dxa" w:w="1728"/>
            <w:shd w:fill="EBF8FF"/>
            <w:tcMar>
              <w:top w:w="60" w:type="dxa"/>
              <w:bottom w:w="60" w:type="dxa"/>
              <w:left w:w="70" w:type="dxa"/>
              <w:right w:w="70" w:type="dxa"/>
            </w:tcMar>
          </w:tcPr>
          <w:p>
            <w:r>
              <w:rPr>
                <w:rFonts w:ascii="Calibri" w:hAnsi="Calibri"/>
                <w:b/>
                <w:color w:val="1A365D"/>
                <w:sz w:val="17"/>
              </w:rPr>
              <w:t>Variable / Construct</w:t>
            </w:r>
          </w:p>
        </w:tc>
        <w:tc>
          <w:tcPr>
            <w:tcW w:type="dxa" w:w="1296"/>
            <w:shd w:fill="EBF8FF"/>
            <w:tcMar>
              <w:top w:w="60" w:type="dxa"/>
              <w:bottom w:w="60" w:type="dxa"/>
              <w:left w:w="70" w:type="dxa"/>
              <w:right w:w="70" w:type="dxa"/>
            </w:tcMar>
          </w:tcPr>
          <w:p>
            <w:r>
              <w:rPr>
                <w:rFonts w:ascii="Calibri" w:hAnsi="Calibri"/>
                <w:b/>
                <w:color w:val="1A365D"/>
                <w:sz w:val="17"/>
              </w:rPr>
              <w:t>Role</w:t>
            </w:r>
          </w:p>
        </w:tc>
        <w:tc>
          <w:tcPr>
            <w:tcW w:type="dxa" w:w="1440"/>
            <w:shd w:fill="EBF8FF"/>
            <w:tcMar>
              <w:top w:w="60" w:type="dxa"/>
              <w:bottom w:w="60" w:type="dxa"/>
              <w:left w:w="70" w:type="dxa"/>
              <w:right w:w="70" w:type="dxa"/>
            </w:tcMar>
          </w:tcPr>
          <w:p>
            <w:r>
              <w:rPr>
                <w:rFonts w:ascii="Calibri" w:hAnsi="Calibri"/>
                <w:b/>
                <w:color w:val="1A365D"/>
                <w:sz w:val="17"/>
              </w:rPr>
              <w:t>Scale</w:t>
            </w:r>
          </w:p>
        </w:tc>
        <w:tc>
          <w:tcPr>
            <w:tcW w:type="dxa" w:w="3312"/>
            <w:shd w:fill="EBF8FF"/>
            <w:tcMar>
              <w:top w:w="60" w:type="dxa"/>
              <w:bottom w:w="60" w:type="dxa"/>
              <w:left w:w="70" w:type="dxa"/>
              <w:right w:w="70" w:type="dxa"/>
            </w:tcMar>
          </w:tcPr>
          <w:p>
            <w:r>
              <w:rPr>
                <w:rFonts w:ascii="Calibri" w:hAnsi="Calibri"/>
                <w:b/>
                <w:color w:val="1A365D"/>
                <w:sz w:val="17"/>
              </w:rPr>
              <w:t>Operational Definition &amp; Formula</w:t>
            </w:r>
          </w:p>
        </w:tc>
        <w:tc>
          <w:tcPr>
            <w:tcW w:type="dxa" w:w="1973"/>
            <w:shd w:fill="EBF8FF"/>
            <w:tcMar>
              <w:top w:w="60" w:type="dxa"/>
              <w:bottom w:w="60" w:type="dxa"/>
              <w:left w:w="70" w:type="dxa"/>
              <w:right w:w="70" w:type="dxa"/>
            </w:tcMar>
          </w:tcPr>
          <w:p>
            <w:r>
              <w:rPr>
                <w:rFonts w:ascii="Calibri" w:hAnsi="Calibri"/>
                <w:b/>
                <w:color w:val="1A365D"/>
                <w:sz w:val="17"/>
              </w:rPr>
              <w:t>Evaluation Criteria</w:t>
            </w:r>
          </w:p>
        </w:tc>
      </w:tr>
      <w:tr>
        <w:tc>
          <w:tcPr>
            <w:tcW w:type="dxa" w:w="1728"/>
            <w:shd w:fill="F7FAFC"/>
            <w:tcMar>
              <w:top w:w="60" w:type="dxa"/>
              <w:bottom w:w="60" w:type="dxa"/>
              <w:left w:w="70" w:type="dxa"/>
              <w:right w:w="70" w:type="dxa"/>
            </w:tcMar>
          </w:tcPr>
          <w:p>
            <w:r>
              <w:rPr>
                <w:rFonts w:ascii="Calibri" w:hAnsi="Calibri"/>
                <w:b/>
                <w:color w:val="2D3748"/>
                <w:sz w:val="17"/>
              </w:rPr>
              <w:t>Few-Shot Classification Accuracy</w:t>
            </w:r>
          </w:p>
        </w:tc>
        <w:tc>
          <w:tcPr>
            <w:tcW w:type="dxa" w:w="1296"/>
            <w:shd w:fill="F7FAFC"/>
            <w:tcMar>
              <w:top w:w="60" w:type="dxa"/>
              <w:bottom w:w="60" w:type="dxa"/>
              <w:left w:w="70" w:type="dxa"/>
              <w:right w:w="70" w:type="dxa"/>
            </w:tcMar>
          </w:tcPr>
          <w:p>
            <w:r>
              <w:rPr>
                <w:rFonts w:ascii="Calibri" w:hAnsi="Calibri"/>
                <w:b w:val="0"/>
                <w:color w:val="2D3748"/>
                <w:sz w:val="17"/>
              </w:rPr>
              <w:t>Dependent (DV1)</w:t>
            </w:r>
          </w:p>
        </w:tc>
        <w:tc>
          <w:tcPr>
            <w:tcW w:type="dxa" w:w="1440"/>
            <w:shd w:fill="F7FAFC"/>
            <w:tcMar>
              <w:top w:w="60" w:type="dxa"/>
              <w:bottom w:w="60" w:type="dxa"/>
              <w:left w:w="70" w:type="dxa"/>
              <w:right w:w="70" w:type="dxa"/>
            </w:tcMar>
          </w:tcPr>
          <w:p>
            <w:r>
              <w:rPr>
                <w:rFonts w:ascii="Calibri" w:hAnsi="Calibri"/>
                <w:b w:val="0"/>
                <w:color w:val="2D3748"/>
                <w:sz w:val="17"/>
              </w:rPr>
              <w:t>Ratio (%)</w:t>
            </w:r>
          </w:p>
        </w:tc>
        <w:tc>
          <w:tcPr>
            <w:tcW w:type="dxa" w:w="3312"/>
            <w:shd w:fill="F7FAFC"/>
            <w:tcMar>
              <w:top w:w="60" w:type="dxa"/>
              <w:bottom w:w="60" w:type="dxa"/>
              <w:left w:w="70" w:type="dxa"/>
              <w:right w:w="70" w:type="dxa"/>
            </w:tcMar>
          </w:tcPr>
          <w:p>
            <w:r>
              <w:rPr>
                <w:rFonts w:ascii="Calibri" w:hAnsi="Calibri"/>
                <w:b w:val="0"/>
                <w:color w:val="2D3748"/>
                <w:sz w:val="17"/>
              </w:rPr>
              <w:t>Percentage of test queries where predicted class matches ground truth: Acc = (Correct / Total) * 100</w:t>
            </w:r>
          </w:p>
        </w:tc>
        <w:tc>
          <w:tcPr>
            <w:tcW w:type="dxa" w:w="1973"/>
            <w:shd w:fill="F7FAFC"/>
            <w:tcMar>
              <w:top w:w="60" w:type="dxa"/>
              <w:bottom w:w="60" w:type="dxa"/>
              <w:left w:w="70" w:type="dxa"/>
              <w:right w:w="70" w:type="dxa"/>
            </w:tcMar>
          </w:tcPr>
          <w:p>
            <w:r>
              <w:rPr>
                <w:rFonts w:ascii="Calibri" w:hAnsi="Calibri"/>
                <w:b w:val="0"/>
                <w:color w:val="2D3748"/>
                <w:sz w:val="17"/>
              </w:rPr>
              <w:t>Target &gt;= 85.0% on valid classes</w:t>
            </w:r>
          </w:p>
        </w:tc>
      </w:tr>
      <w:tr>
        <w:tc>
          <w:tcPr>
            <w:tcW w:type="dxa" w:w="1728"/>
            <w:shd w:fill="FFFFFF"/>
            <w:tcMar>
              <w:top w:w="60" w:type="dxa"/>
              <w:bottom w:w="60" w:type="dxa"/>
              <w:left w:w="70" w:type="dxa"/>
              <w:right w:w="70" w:type="dxa"/>
            </w:tcMar>
          </w:tcPr>
          <w:p>
            <w:r>
              <w:rPr>
                <w:rFonts w:ascii="Calibri" w:hAnsi="Calibri"/>
                <w:b/>
                <w:color w:val="2D3748"/>
                <w:sz w:val="17"/>
              </w:rPr>
              <w:t>Adaptation Latency</w:t>
            </w:r>
          </w:p>
        </w:tc>
        <w:tc>
          <w:tcPr>
            <w:tcW w:type="dxa" w:w="1296"/>
            <w:shd w:fill="FFFFFF"/>
            <w:tcMar>
              <w:top w:w="60" w:type="dxa"/>
              <w:bottom w:w="60" w:type="dxa"/>
              <w:left w:w="70" w:type="dxa"/>
              <w:right w:w="70" w:type="dxa"/>
            </w:tcMar>
          </w:tcPr>
          <w:p>
            <w:r>
              <w:rPr>
                <w:rFonts w:ascii="Calibri" w:hAnsi="Calibri"/>
                <w:b w:val="0"/>
                <w:color w:val="2D3748"/>
                <w:sz w:val="17"/>
              </w:rPr>
              <w:t>Dependent (DV2)</w:t>
            </w:r>
          </w:p>
        </w:tc>
        <w:tc>
          <w:tcPr>
            <w:tcW w:type="dxa" w:w="1440"/>
            <w:shd w:fill="FFFFFF"/>
            <w:tcMar>
              <w:top w:w="60" w:type="dxa"/>
              <w:bottom w:w="60" w:type="dxa"/>
              <w:left w:w="70" w:type="dxa"/>
              <w:right w:w="70" w:type="dxa"/>
            </w:tcMar>
          </w:tcPr>
          <w:p>
            <w:r>
              <w:rPr>
                <w:rFonts w:ascii="Calibri" w:hAnsi="Calibri"/>
                <w:b w:val="0"/>
                <w:color w:val="2D3748"/>
                <w:sz w:val="17"/>
              </w:rPr>
              <w:t>Interval (ms)</w:t>
            </w:r>
          </w:p>
        </w:tc>
        <w:tc>
          <w:tcPr>
            <w:tcW w:type="dxa" w:w="3312"/>
            <w:shd w:fill="FFFFFF"/>
            <w:tcMar>
              <w:top w:w="60" w:type="dxa"/>
              <w:bottom w:w="60" w:type="dxa"/>
              <w:left w:w="70" w:type="dxa"/>
              <w:right w:w="70" w:type="dxa"/>
            </w:tcMar>
          </w:tcPr>
          <w:p>
            <w:r>
              <w:rPr>
                <w:rFonts w:ascii="Calibri" w:hAnsi="Calibri"/>
                <w:b w:val="0"/>
                <w:color w:val="2D3748"/>
                <w:sz w:val="17"/>
              </w:rPr>
              <w:t>Total wall-clock duration to enroll novel support set and output classification vector: t_inf - t_0</w:t>
            </w:r>
          </w:p>
        </w:tc>
        <w:tc>
          <w:tcPr>
            <w:tcW w:type="dxa" w:w="1973"/>
            <w:shd w:fill="FFFFFF"/>
            <w:tcMar>
              <w:top w:w="60" w:type="dxa"/>
              <w:bottom w:w="60" w:type="dxa"/>
              <w:left w:w="70" w:type="dxa"/>
              <w:right w:w="70" w:type="dxa"/>
            </w:tcMar>
          </w:tcPr>
          <w:p>
            <w:r>
              <w:rPr>
                <w:rFonts w:ascii="Calibri" w:hAnsi="Calibri"/>
                <w:b w:val="0"/>
                <w:color w:val="2D3748"/>
                <w:sz w:val="17"/>
              </w:rPr>
              <w:t>Target &lt;= 350 ms on CPU</w:t>
            </w:r>
          </w:p>
        </w:tc>
      </w:tr>
      <w:tr>
        <w:tc>
          <w:tcPr>
            <w:tcW w:type="dxa" w:w="1728"/>
            <w:shd w:fill="F7FAFC"/>
            <w:tcMar>
              <w:top w:w="60" w:type="dxa"/>
              <w:bottom w:w="60" w:type="dxa"/>
              <w:left w:w="70" w:type="dxa"/>
              <w:right w:w="70" w:type="dxa"/>
            </w:tcMar>
          </w:tcPr>
          <w:p>
            <w:r>
              <w:rPr>
                <w:rFonts w:ascii="Calibri" w:hAnsi="Calibri"/>
                <w:b/>
                <w:color w:val="2D3748"/>
                <w:sz w:val="17"/>
              </w:rPr>
              <w:t>Cosine Distance (d_cos)</w:t>
            </w:r>
          </w:p>
        </w:tc>
        <w:tc>
          <w:tcPr>
            <w:tcW w:type="dxa" w:w="1296"/>
            <w:shd w:fill="F7FAFC"/>
            <w:tcMar>
              <w:top w:w="60" w:type="dxa"/>
              <w:bottom w:w="60" w:type="dxa"/>
              <w:left w:w="70" w:type="dxa"/>
              <w:right w:w="70" w:type="dxa"/>
            </w:tcMar>
          </w:tcPr>
          <w:p>
            <w:r>
              <w:rPr>
                <w:rFonts w:ascii="Calibri" w:hAnsi="Calibri"/>
                <w:b w:val="0"/>
                <w:color w:val="2D3748"/>
                <w:sz w:val="17"/>
              </w:rPr>
              <w:t>Dependent (DV3)</w:t>
            </w:r>
          </w:p>
        </w:tc>
        <w:tc>
          <w:tcPr>
            <w:tcW w:type="dxa" w:w="1440"/>
            <w:shd w:fill="F7FAFC"/>
            <w:tcMar>
              <w:top w:w="60" w:type="dxa"/>
              <w:bottom w:w="60" w:type="dxa"/>
              <w:left w:w="70" w:type="dxa"/>
              <w:right w:w="70" w:type="dxa"/>
            </w:tcMar>
          </w:tcPr>
          <w:p>
            <w:r>
              <w:rPr>
                <w:rFonts w:ascii="Calibri" w:hAnsi="Calibri"/>
                <w:b w:val="0"/>
                <w:color w:val="2D3748"/>
                <w:sz w:val="17"/>
              </w:rPr>
              <w:t>Ratio [0, 2]</w:t>
            </w:r>
          </w:p>
        </w:tc>
        <w:tc>
          <w:tcPr>
            <w:tcW w:type="dxa" w:w="3312"/>
            <w:shd w:fill="F7FAFC"/>
            <w:tcMar>
              <w:top w:w="60" w:type="dxa"/>
              <w:bottom w:w="60" w:type="dxa"/>
              <w:left w:w="70" w:type="dxa"/>
              <w:right w:w="70" w:type="dxa"/>
            </w:tcMar>
          </w:tcPr>
          <w:p>
            <w:r>
              <w:rPr>
                <w:rFonts w:ascii="Calibri" w:hAnsi="Calibri"/>
                <w:b w:val="0"/>
                <w:color w:val="2D3748"/>
                <w:sz w:val="17"/>
              </w:rPr>
              <w:t>Distance on unit hypersphere: d(q, p) = 1.0 - (q^T * p) / (||q|| * ||p||)</w:t>
            </w:r>
          </w:p>
        </w:tc>
        <w:tc>
          <w:tcPr>
            <w:tcW w:type="dxa" w:w="1973"/>
            <w:shd w:fill="F7FAFC"/>
            <w:tcMar>
              <w:top w:w="60" w:type="dxa"/>
              <w:bottom w:w="60" w:type="dxa"/>
              <w:left w:w="70" w:type="dxa"/>
              <w:right w:w="70" w:type="dxa"/>
            </w:tcMar>
          </w:tcPr>
          <w:p>
            <w:r>
              <w:rPr>
                <w:rFonts w:ascii="Calibri" w:hAnsi="Calibri"/>
                <w:b w:val="0"/>
                <w:color w:val="2D3748"/>
                <w:sz w:val="17"/>
              </w:rPr>
              <w:t>d &lt;= intra_class_radius for match</w:t>
            </w:r>
          </w:p>
        </w:tc>
      </w:tr>
      <w:tr>
        <w:tc>
          <w:tcPr>
            <w:tcW w:type="dxa" w:w="1728"/>
            <w:shd w:fill="FFFFFF"/>
            <w:tcMar>
              <w:top w:w="60" w:type="dxa"/>
              <w:bottom w:w="60" w:type="dxa"/>
              <w:left w:w="70" w:type="dxa"/>
              <w:right w:w="70" w:type="dxa"/>
            </w:tcMar>
          </w:tcPr>
          <w:p>
            <w:r>
              <w:rPr>
                <w:rFonts w:ascii="Calibri" w:hAnsi="Calibri"/>
                <w:b/>
                <w:color w:val="2D3748"/>
                <w:sz w:val="17"/>
              </w:rPr>
              <w:t>Open-Set Rejection Rate</w:t>
            </w:r>
          </w:p>
        </w:tc>
        <w:tc>
          <w:tcPr>
            <w:tcW w:type="dxa" w:w="1296"/>
            <w:shd w:fill="FFFFFF"/>
            <w:tcMar>
              <w:top w:w="60" w:type="dxa"/>
              <w:bottom w:w="60" w:type="dxa"/>
              <w:left w:w="70" w:type="dxa"/>
              <w:right w:w="70" w:type="dxa"/>
            </w:tcMar>
          </w:tcPr>
          <w:p>
            <w:r>
              <w:rPr>
                <w:rFonts w:ascii="Calibri" w:hAnsi="Calibri"/>
                <w:b w:val="0"/>
                <w:color w:val="2D3748"/>
                <w:sz w:val="17"/>
              </w:rPr>
              <w:t>Dependent (DV4)</w:t>
            </w:r>
          </w:p>
        </w:tc>
        <w:tc>
          <w:tcPr>
            <w:tcW w:type="dxa" w:w="1440"/>
            <w:shd w:fill="FFFFFF"/>
            <w:tcMar>
              <w:top w:w="60" w:type="dxa"/>
              <w:bottom w:w="60" w:type="dxa"/>
              <w:left w:w="70" w:type="dxa"/>
              <w:right w:w="70" w:type="dxa"/>
            </w:tcMar>
          </w:tcPr>
          <w:p>
            <w:r>
              <w:rPr>
                <w:rFonts w:ascii="Calibri" w:hAnsi="Calibri"/>
                <w:b w:val="0"/>
                <w:color w:val="2D3748"/>
                <w:sz w:val="17"/>
              </w:rPr>
              <w:t>Ratio (%)</w:t>
            </w:r>
          </w:p>
        </w:tc>
        <w:tc>
          <w:tcPr>
            <w:tcW w:type="dxa" w:w="3312"/>
            <w:shd w:fill="FFFFFF"/>
            <w:tcMar>
              <w:top w:w="60" w:type="dxa"/>
              <w:bottom w:w="60" w:type="dxa"/>
              <w:left w:w="70" w:type="dxa"/>
              <w:right w:w="70" w:type="dxa"/>
            </w:tcMar>
          </w:tcPr>
          <w:p>
            <w:r>
              <w:rPr>
                <w:rFonts w:ascii="Calibri" w:hAnsi="Calibri"/>
                <w:b w:val="0"/>
                <w:color w:val="2D3748"/>
                <w:sz w:val="17"/>
              </w:rPr>
              <w:t>Percentage of out-of-distribution anomalies correctly tagged as [MATCH NOT FOUND / UNKNOWN]</w:t>
            </w:r>
          </w:p>
        </w:tc>
        <w:tc>
          <w:tcPr>
            <w:tcW w:type="dxa" w:w="1973"/>
            <w:shd w:fill="FFFFFF"/>
            <w:tcMar>
              <w:top w:w="60" w:type="dxa"/>
              <w:bottom w:w="60" w:type="dxa"/>
              <w:left w:w="70" w:type="dxa"/>
              <w:right w:w="70" w:type="dxa"/>
            </w:tcMar>
          </w:tcPr>
          <w:p>
            <w:r>
              <w:rPr>
                <w:rFonts w:ascii="Calibri" w:hAnsi="Calibri"/>
                <w:b w:val="0"/>
                <w:color w:val="2D3748"/>
                <w:sz w:val="17"/>
              </w:rPr>
              <w:t>Target = 100.0% on out-of-system anomalies</w:t>
            </w:r>
          </w:p>
        </w:tc>
      </w:tr>
      <w:tr>
        <w:tc>
          <w:tcPr>
            <w:tcW w:type="dxa" w:w="1728"/>
            <w:shd w:fill="F7FAFC"/>
            <w:tcMar>
              <w:top w:w="60" w:type="dxa"/>
              <w:bottom w:w="60" w:type="dxa"/>
              <w:left w:w="70" w:type="dxa"/>
              <w:right w:w="70" w:type="dxa"/>
            </w:tcMar>
          </w:tcPr>
          <w:p>
            <w:r>
              <w:rPr>
                <w:rFonts w:ascii="Calibri" w:hAnsi="Calibri"/>
                <w:b/>
                <w:color w:val="2D3748"/>
                <w:sz w:val="17"/>
              </w:rPr>
              <w:t>Meta-Learning Algorithm</w:t>
            </w:r>
          </w:p>
        </w:tc>
        <w:tc>
          <w:tcPr>
            <w:tcW w:type="dxa" w:w="1296"/>
            <w:shd w:fill="F7FAFC"/>
            <w:tcMar>
              <w:top w:w="60" w:type="dxa"/>
              <w:bottom w:w="60" w:type="dxa"/>
              <w:left w:w="70" w:type="dxa"/>
              <w:right w:w="70" w:type="dxa"/>
            </w:tcMar>
          </w:tcPr>
          <w:p>
            <w:r>
              <w:rPr>
                <w:rFonts w:ascii="Calibri" w:hAnsi="Calibri"/>
                <w:b w:val="0"/>
                <w:color w:val="2D3748"/>
                <w:sz w:val="17"/>
              </w:rPr>
              <w:t>Independent (IV1)</w:t>
            </w:r>
          </w:p>
        </w:tc>
        <w:tc>
          <w:tcPr>
            <w:tcW w:type="dxa" w:w="1440"/>
            <w:shd w:fill="F7FAFC"/>
            <w:tcMar>
              <w:top w:w="60" w:type="dxa"/>
              <w:bottom w:w="60" w:type="dxa"/>
              <w:left w:w="70" w:type="dxa"/>
              <w:right w:w="70" w:type="dxa"/>
            </w:tcMar>
          </w:tcPr>
          <w:p>
            <w:r>
              <w:rPr>
                <w:rFonts w:ascii="Calibri" w:hAnsi="Calibri"/>
                <w:b w:val="0"/>
                <w:color w:val="2D3748"/>
                <w:sz w:val="17"/>
              </w:rPr>
              <w:t>Nominal</w:t>
            </w:r>
          </w:p>
        </w:tc>
        <w:tc>
          <w:tcPr>
            <w:tcW w:type="dxa" w:w="3312"/>
            <w:shd w:fill="F7FAFC"/>
            <w:tcMar>
              <w:top w:w="60" w:type="dxa"/>
              <w:bottom w:w="60" w:type="dxa"/>
              <w:left w:w="70" w:type="dxa"/>
              <w:right w:w="70" w:type="dxa"/>
            </w:tcMar>
          </w:tcPr>
          <w:p>
            <w:r>
              <w:rPr>
                <w:rFonts w:ascii="Calibri" w:hAnsi="Calibri"/>
                <w:b w:val="0"/>
                <w:color w:val="2D3748"/>
                <w:sz w:val="17"/>
              </w:rPr>
              <w:t>Categorical choice: Prototypical Networks, Matching Networks, Relation Networks, MAML, or Ensemble</w:t>
            </w:r>
          </w:p>
        </w:tc>
        <w:tc>
          <w:tcPr>
            <w:tcW w:type="dxa" w:w="1973"/>
            <w:shd w:fill="F7FAFC"/>
            <w:tcMar>
              <w:top w:w="60" w:type="dxa"/>
              <w:bottom w:w="60" w:type="dxa"/>
              <w:left w:w="70" w:type="dxa"/>
              <w:right w:w="70" w:type="dxa"/>
            </w:tcMar>
          </w:tcPr>
          <w:p>
            <w:r>
              <w:rPr>
                <w:rFonts w:ascii="Calibri" w:hAnsi="Calibri"/>
                <w:b w:val="0"/>
                <w:color w:val="2D3748"/>
                <w:sz w:val="17"/>
              </w:rPr>
              <w:t>Tested under identical 5-shot protocols</w:t>
            </w:r>
          </w:p>
        </w:tc>
      </w:tr>
      <w:tr>
        <w:tc>
          <w:tcPr>
            <w:tcW w:type="dxa" w:w="1728"/>
            <w:shd w:fill="FFFFFF"/>
            <w:tcMar>
              <w:top w:w="60" w:type="dxa"/>
              <w:bottom w:w="60" w:type="dxa"/>
              <w:left w:w="70" w:type="dxa"/>
              <w:right w:w="70" w:type="dxa"/>
            </w:tcMar>
          </w:tcPr>
          <w:p>
            <w:r>
              <w:rPr>
                <w:rFonts w:ascii="Calibri" w:hAnsi="Calibri"/>
                <w:b/>
                <w:color w:val="2D3748"/>
                <w:sz w:val="17"/>
              </w:rPr>
              <w:t>Backbone Feature Dimension</w:t>
            </w:r>
          </w:p>
        </w:tc>
        <w:tc>
          <w:tcPr>
            <w:tcW w:type="dxa" w:w="1296"/>
            <w:shd w:fill="FFFFFF"/>
            <w:tcMar>
              <w:top w:w="60" w:type="dxa"/>
              <w:bottom w:w="60" w:type="dxa"/>
              <w:left w:w="70" w:type="dxa"/>
              <w:right w:w="70" w:type="dxa"/>
            </w:tcMar>
          </w:tcPr>
          <w:p>
            <w:r>
              <w:rPr>
                <w:rFonts w:ascii="Calibri" w:hAnsi="Calibri"/>
                <w:b w:val="0"/>
                <w:color w:val="2D3748"/>
                <w:sz w:val="17"/>
              </w:rPr>
              <w:t>Control (CV1)</w:t>
            </w:r>
          </w:p>
        </w:tc>
        <w:tc>
          <w:tcPr>
            <w:tcW w:type="dxa" w:w="1440"/>
            <w:shd w:fill="FFFFFF"/>
            <w:tcMar>
              <w:top w:w="60" w:type="dxa"/>
              <w:bottom w:w="60" w:type="dxa"/>
              <w:left w:w="70" w:type="dxa"/>
              <w:right w:w="70" w:type="dxa"/>
            </w:tcMar>
          </w:tcPr>
          <w:p>
            <w:r>
              <w:rPr>
                <w:rFonts w:ascii="Calibri" w:hAnsi="Calibri"/>
                <w:b w:val="0"/>
                <w:color w:val="2D3748"/>
                <w:sz w:val="17"/>
              </w:rPr>
              <w:t>Constant</w:t>
            </w:r>
          </w:p>
        </w:tc>
        <w:tc>
          <w:tcPr>
            <w:tcW w:type="dxa" w:w="3312"/>
            <w:shd w:fill="FFFFFF"/>
            <w:tcMar>
              <w:top w:w="60" w:type="dxa"/>
              <w:bottom w:w="60" w:type="dxa"/>
              <w:left w:w="70" w:type="dxa"/>
              <w:right w:w="70" w:type="dxa"/>
            </w:tcMar>
          </w:tcPr>
          <w:p>
            <w:r>
              <w:rPr>
                <w:rFonts w:ascii="Calibri" w:hAnsi="Calibri"/>
                <w:b w:val="0"/>
                <w:color w:val="2D3748"/>
                <w:sz w:val="17"/>
              </w:rPr>
              <w:t>Fixed ResNet-50 feature manifold dimensionality: D = 2048, L2-normalized (||z||_2 = 1.0)</w:t>
            </w:r>
          </w:p>
        </w:tc>
        <w:tc>
          <w:tcPr>
            <w:tcW w:type="dxa" w:w="1973"/>
            <w:shd w:fill="FFFFFF"/>
            <w:tcMar>
              <w:top w:w="60" w:type="dxa"/>
              <w:bottom w:w="60" w:type="dxa"/>
              <w:left w:w="70" w:type="dxa"/>
              <w:right w:w="70" w:type="dxa"/>
            </w:tcMar>
          </w:tcPr>
          <w:p>
            <w:r>
              <w:rPr>
                <w:rFonts w:ascii="Calibri" w:hAnsi="Calibri"/>
                <w:b w:val="0"/>
                <w:color w:val="2D3748"/>
                <w:sz w:val="17"/>
              </w:rPr>
              <w:t>Verified fixed across all experiments</w:t>
            </w:r>
          </w:p>
        </w:tc>
      </w:tr>
    </w:tbl>
    <w:p>
      <w:pPr>
        <w:spacing w:after="160"/>
      </w:pPr>
      <w:r>
        <w:rPr>
          <w:rFonts w:ascii="Calibri" w:hAnsi="Calibri"/>
          <w:i/>
          <w:color w:val="718096"/>
          <w:sz w:val="17"/>
        </w:rPr>
        <w:t>Table 2: Key Variables, Operational Definitions, and Evaluation Standards.</w:t>
      </w:r>
    </w:p>
    <w:p>
      <w:pPr>
        <w:keepNext/>
        <w:spacing w:before="280" w:after="80"/>
      </w:pPr>
      <w:r>
        <w:rPr>
          <w:rFonts w:ascii="Calibri" w:hAnsi="Calibri"/>
          <w:b/>
          <w:color w:val="1A365D"/>
          <w:sz w:val="26"/>
        </w:rPr>
        <w:t>UNIT II — LITERATURE SURVEY AND RESEARCH APPROACH</w:t>
      </w:r>
    </w:p>
    <w:p>
      <w:pPr>
        <w:keepNext/>
        <w:spacing w:before="200" w:after="60"/>
      </w:pPr>
      <w:r>
        <w:rPr>
          <w:rFonts w:ascii="Calibri" w:hAnsi="Calibri"/>
          <w:b/>
          <w:color w:val="2B6CB0"/>
          <w:sz w:val="22"/>
        </w:rPr>
        <w:t>2.1 Literature Search Strategy</w:t>
      </w:r>
    </w:p>
    <w:p>
      <w:pPr>
        <w:spacing w:before="0" w:after="80" w:line="276" w:lineRule="auto"/>
      </w:pPr>
      <w:r>
        <w:rPr>
          <w:rFonts w:ascii="Calibri" w:hAnsi="Calibri"/>
          <w:color w:val="2D3748"/>
          <w:sz w:val="19"/>
        </w:rPr>
        <w:t>A systematic academic literature search was conducted across five major indexing databases: IEEE Xplore, ACM Digital Library, ScienceDirect (Elsevier), SpringerLink, and Google Scholar. The search covered peer-reviewed publications spanning 2016 through 2024, incorporating foundational seminal papers and recent advancements in few-shot learning and open-set recognition.</w:t>
      </w:r>
    </w:p>
    <w:p>
      <w:pPr>
        <w:spacing w:before="0" w:after="80" w:line="276" w:lineRule="auto"/>
      </w:pPr>
      <w:r>
        <w:rPr>
          <w:rFonts w:ascii="Calibri" w:hAnsi="Calibri"/>
          <w:b/>
          <w:color w:val="2D3748"/>
          <w:sz w:val="19"/>
        </w:rPr>
        <w:t xml:space="preserve">Query Strings: </w:t>
      </w:r>
      <w:r>
        <w:rPr>
          <w:rFonts w:ascii="Calibri" w:hAnsi="Calibri"/>
          <w:color w:val="2D3748"/>
          <w:sz w:val="19"/>
        </w:rPr>
        <w:t>Search Strings &amp; Boolean Logic:</w:t>
      </w:r>
    </w:p>
    <w:p>
      <w:pPr>
        <w:pStyle w:val="ListBullet"/>
        <w:spacing w:before="0" w:after="40" w:line="264" w:lineRule="auto"/>
      </w:pPr>
      <w:r>
        <w:rPr>
          <w:rFonts w:ascii="Calibri" w:hAnsi="Calibri"/>
          <w:b/>
          <w:color w:val="2D3748"/>
          <w:sz w:val="19"/>
        </w:rPr>
        <w:t xml:space="preserve">Primary String: </w:t>
      </w:r>
      <w:r>
        <w:rPr>
          <w:rFonts w:ascii="Calibri" w:hAnsi="Calibri"/>
          <w:color w:val="2D3748"/>
          <w:sz w:val="19"/>
        </w:rPr>
        <w:t>("few-shot learning" OR "meta-learning") AND ("prototypical networks" OR "matching networks" OR "MAML") AND ("image classification" OR "computer vision")</w:t>
      </w:r>
    </w:p>
    <w:p>
      <w:pPr>
        <w:pStyle w:val="ListBullet"/>
        <w:spacing w:before="0" w:after="40" w:line="264" w:lineRule="auto"/>
      </w:pPr>
      <w:r>
        <w:rPr>
          <w:rFonts w:ascii="Calibri" w:hAnsi="Calibri"/>
          <w:b/>
          <w:color w:val="2D3748"/>
          <w:sz w:val="19"/>
        </w:rPr>
        <w:t xml:space="preserve">Secondary String: </w:t>
      </w:r>
      <w:r>
        <w:rPr>
          <w:rFonts w:ascii="Calibri" w:hAnsi="Calibri"/>
          <w:color w:val="2D3748"/>
          <w:sz w:val="19"/>
        </w:rPr>
        <w:t>("few-shot" AND "open-set recognition") OR ("out-of-distribution" AND "meta-learning") AND ("class-incremental learning" OR "catastrophic forgetting")</w:t>
      </w:r>
    </w:p>
    <w:p>
      <w:pPr>
        <w:pStyle w:val="ListBullet"/>
        <w:spacing w:before="0" w:after="40" w:line="264" w:lineRule="auto"/>
      </w:pPr>
      <w:r>
        <w:rPr>
          <w:rFonts w:ascii="Calibri" w:hAnsi="Calibri"/>
          <w:b/>
          <w:color w:val="2D3748"/>
          <w:sz w:val="19"/>
        </w:rPr>
        <w:t xml:space="preserve">Inclusion Criteria: </w:t>
      </w:r>
      <w:r>
        <w:rPr>
          <w:rFonts w:ascii="Calibri" w:hAnsi="Calibri"/>
          <w:color w:val="2D3748"/>
          <w:sz w:val="19"/>
        </w:rPr>
        <w:t>Peer-reviewed conference or journal; empirical computer vision focus; documented baseline comparison; published between 2016 and 2024.</w:t>
      </w:r>
    </w:p>
    <w:p>
      <w:pPr>
        <w:pStyle w:val="ListBullet"/>
        <w:spacing w:before="0" w:after="40" w:line="264" w:lineRule="auto"/>
      </w:pPr>
      <w:r>
        <w:rPr>
          <w:rFonts w:ascii="Calibri" w:hAnsi="Calibri"/>
          <w:b/>
          <w:color w:val="2D3748"/>
          <w:sz w:val="19"/>
        </w:rPr>
        <w:t xml:space="preserve">Exclusion Criteria: </w:t>
      </w:r>
      <w:r>
        <w:rPr>
          <w:rFonts w:ascii="Calibri" w:hAnsi="Calibri"/>
          <w:color w:val="2D3748"/>
          <w:sz w:val="19"/>
        </w:rPr>
        <w:t>Non-peer-reviewed preprints without code verification; purely theoretical works lacking visual validation; domain-restricted non-visual studies.</w:t>
      </w:r>
    </w:p>
    <w:p>
      <w:pPr>
        <w:keepNext/>
        <w:spacing w:before="200" w:after="60"/>
      </w:pPr>
      <w:r>
        <w:rPr>
          <w:rFonts w:ascii="Calibri" w:hAnsi="Calibri"/>
          <w:b/>
          <w:color w:val="2B6CB0"/>
          <w:sz w:val="22"/>
        </w:rPr>
        <w:t>2.2 Comparative Literature Survey</w:t>
      </w:r>
    </w:p>
    <w:p>
      <w:pPr>
        <w:spacing w:before="0" w:after="80" w:line="276" w:lineRule="auto"/>
      </w:pPr>
      <w:r>
        <w:rPr>
          <w:rFonts w:ascii="Calibri" w:hAnsi="Calibri"/>
          <w:color w:val="2D3748"/>
          <w:sz w:val="19"/>
        </w:rPr>
        <w:t>Table 3 presents a comparative matrix of foundational and state-of-the-art research papers directly informing MetaLearnHub.</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393"/>
        <w:gridCol w:w="1393"/>
        <w:gridCol w:w="1393"/>
        <w:gridCol w:w="1393"/>
        <w:gridCol w:w="1393"/>
        <w:gridCol w:w="1393"/>
        <w:gridCol w:w="1393"/>
      </w:tblGrid>
      <w:tr>
        <w:tc>
          <w:tcPr>
            <w:tcW w:type="dxa" w:w="1584"/>
            <w:shd w:fill="EBF8FF"/>
            <w:tcMar>
              <w:top w:w="50" w:type="dxa"/>
              <w:bottom w:w="50" w:type="dxa"/>
              <w:left w:w="50" w:type="dxa"/>
              <w:right w:w="50" w:type="dxa"/>
            </w:tcMar>
          </w:tcPr>
          <w:p>
            <w:r>
              <w:rPr>
                <w:rFonts w:ascii="Calibri" w:hAnsi="Calibri"/>
                <w:b/>
                <w:color w:val="1A365D"/>
                <w:sz w:val="16"/>
              </w:rPr>
              <w:t>Reference</w:t>
            </w:r>
          </w:p>
        </w:tc>
        <w:tc>
          <w:tcPr>
            <w:tcW w:type="dxa" w:w="1296"/>
            <w:shd w:fill="EBF8FF"/>
            <w:tcMar>
              <w:top w:w="50" w:type="dxa"/>
              <w:bottom w:w="50" w:type="dxa"/>
              <w:left w:w="50" w:type="dxa"/>
              <w:right w:w="50" w:type="dxa"/>
            </w:tcMar>
          </w:tcPr>
          <w:p>
            <w:r>
              <w:rPr>
                <w:rFonts w:ascii="Calibri" w:hAnsi="Calibri"/>
                <w:b/>
                <w:color w:val="1A365D"/>
                <w:sz w:val="16"/>
              </w:rPr>
              <w:t>Research Problem</w:t>
            </w:r>
          </w:p>
        </w:tc>
        <w:tc>
          <w:tcPr>
            <w:tcW w:type="dxa" w:w="1440"/>
            <w:shd w:fill="EBF8FF"/>
            <w:tcMar>
              <w:top w:w="50" w:type="dxa"/>
              <w:bottom w:w="50" w:type="dxa"/>
              <w:left w:w="50" w:type="dxa"/>
              <w:right w:w="50" w:type="dxa"/>
            </w:tcMar>
          </w:tcPr>
          <w:p>
            <w:r>
              <w:rPr>
                <w:rFonts w:ascii="Calibri" w:hAnsi="Calibri"/>
                <w:b/>
                <w:color w:val="1A365D"/>
                <w:sz w:val="16"/>
              </w:rPr>
              <w:t>Methodology</w:t>
            </w:r>
          </w:p>
        </w:tc>
        <w:tc>
          <w:tcPr>
            <w:tcW w:type="dxa" w:w="1296"/>
            <w:shd w:fill="EBF8FF"/>
            <w:tcMar>
              <w:top w:w="50" w:type="dxa"/>
              <w:bottom w:w="50" w:type="dxa"/>
              <w:left w:w="50" w:type="dxa"/>
              <w:right w:w="50" w:type="dxa"/>
            </w:tcMar>
          </w:tcPr>
          <w:p>
            <w:r>
              <w:rPr>
                <w:rFonts w:ascii="Calibri" w:hAnsi="Calibri"/>
                <w:b/>
                <w:color w:val="1A365D"/>
                <w:sz w:val="16"/>
              </w:rPr>
              <w:t>Dataset / Setup</w:t>
            </w:r>
          </w:p>
        </w:tc>
        <w:tc>
          <w:tcPr>
            <w:tcW w:type="dxa" w:w="1584"/>
            <w:shd w:fill="EBF8FF"/>
            <w:tcMar>
              <w:top w:w="50" w:type="dxa"/>
              <w:bottom w:w="50" w:type="dxa"/>
              <w:left w:w="50" w:type="dxa"/>
              <w:right w:w="50" w:type="dxa"/>
            </w:tcMar>
          </w:tcPr>
          <w:p>
            <w:r>
              <w:rPr>
                <w:rFonts w:ascii="Calibri" w:hAnsi="Calibri"/>
                <w:b/>
                <w:color w:val="1A365D"/>
                <w:sz w:val="16"/>
              </w:rPr>
              <w:t>Main Findings</w:t>
            </w:r>
          </w:p>
        </w:tc>
        <w:tc>
          <w:tcPr>
            <w:tcW w:type="dxa" w:w="1296"/>
            <w:shd w:fill="EBF8FF"/>
            <w:tcMar>
              <w:top w:w="50" w:type="dxa"/>
              <w:bottom w:w="50" w:type="dxa"/>
              <w:left w:w="50" w:type="dxa"/>
              <w:right w:w="50" w:type="dxa"/>
            </w:tcMar>
          </w:tcPr>
          <w:p>
            <w:r>
              <w:rPr>
                <w:rFonts w:ascii="Calibri" w:hAnsi="Calibri"/>
                <w:b/>
                <w:color w:val="1A365D"/>
                <w:sz w:val="16"/>
              </w:rPr>
              <w:t>Limitations</w:t>
            </w:r>
          </w:p>
        </w:tc>
        <w:tc>
          <w:tcPr>
            <w:tcW w:type="dxa" w:w="1253"/>
            <w:shd w:fill="EBF8FF"/>
            <w:tcMar>
              <w:top w:w="50" w:type="dxa"/>
              <w:bottom w:w="50" w:type="dxa"/>
              <w:left w:w="50" w:type="dxa"/>
              <w:right w:w="50" w:type="dxa"/>
            </w:tcMar>
          </w:tcPr>
          <w:p>
            <w:r>
              <w:rPr>
                <w:rFonts w:ascii="Calibri" w:hAnsi="Calibri"/>
                <w:b/>
                <w:color w:val="1A365D"/>
                <w:sz w:val="16"/>
              </w:rPr>
              <w:t>Relevance</w:t>
            </w:r>
          </w:p>
        </w:tc>
      </w:tr>
      <w:tr>
        <w:tc>
          <w:tcPr>
            <w:tcW w:type="dxa" w:w="1584"/>
            <w:shd w:fill="F7FAFC"/>
            <w:tcMar>
              <w:top w:w="50" w:type="dxa"/>
              <w:bottom w:w="50" w:type="dxa"/>
              <w:left w:w="50" w:type="dxa"/>
              <w:right w:w="50" w:type="dxa"/>
            </w:tcMar>
          </w:tcPr>
          <w:p>
            <w:r>
              <w:rPr>
                <w:rFonts w:ascii="Calibri" w:hAnsi="Calibri"/>
                <w:b/>
                <w:color w:val="2D3748"/>
                <w:sz w:val="16"/>
              </w:rPr>
              <w:t>Snell et al. (2017) [1]</w:t>
            </w:r>
          </w:p>
        </w:tc>
        <w:tc>
          <w:tcPr>
            <w:tcW w:type="dxa" w:w="1296"/>
            <w:shd w:fill="F7FAFC"/>
            <w:tcMar>
              <w:top w:w="50" w:type="dxa"/>
              <w:bottom w:w="50" w:type="dxa"/>
              <w:left w:w="50" w:type="dxa"/>
              <w:right w:w="50" w:type="dxa"/>
            </w:tcMar>
          </w:tcPr>
          <w:p>
            <w:r>
              <w:rPr>
                <w:rFonts w:ascii="Calibri" w:hAnsi="Calibri"/>
                <w:b w:val="0"/>
                <w:color w:val="2D3748"/>
                <w:sz w:val="16"/>
              </w:rPr>
              <w:t>High compute cost in meta-learning</w:t>
            </w:r>
          </w:p>
        </w:tc>
        <w:tc>
          <w:tcPr>
            <w:tcW w:type="dxa" w:w="1440"/>
            <w:shd w:fill="F7FAFC"/>
            <w:tcMar>
              <w:top w:w="50" w:type="dxa"/>
              <w:bottom w:w="50" w:type="dxa"/>
              <w:left w:w="50" w:type="dxa"/>
              <w:right w:w="50" w:type="dxa"/>
            </w:tcMar>
          </w:tcPr>
          <w:p>
            <w:r>
              <w:rPr>
                <w:rFonts w:ascii="Calibri" w:hAnsi="Calibri"/>
                <w:b w:val="0"/>
                <w:color w:val="2D3748"/>
                <w:sz w:val="16"/>
              </w:rPr>
              <w:t>Prototypical Networks: Centroid Euclidean metric</w:t>
            </w:r>
          </w:p>
        </w:tc>
        <w:tc>
          <w:tcPr>
            <w:tcW w:type="dxa" w:w="1296"/>
            <w:shd w:fill="F7FAFC"/>
            <w:tcMar>
              <w:top w:w="50" w:type="dxa"/>
              <w:bottom w:w="50" w:type="dxa"/>
              <w:left w:w="50" w:type="dxa"/>
              <w:right w:w="50" w:type="dxa"/>
            </w:tcMar>
          </w:tcPr>
          <w:p>
            <w:r>
              <w:rPr>
                <w:rFonts w:ascii="Calibri" w:hAnsi="Calibri"/>
                <w:b w:val="0"/>
                <w:color w:val="2D3748"/>
                <w:sz w:val="16"/>
              </w:rPr>
              <w:t>Omniglot, miniImageNet</w:t>
            </w:r>
          </w:p>
        </w:tc>
        <w:tc>
          <w:tcPr>
            <w:tcW w:type="dxa" w:w="1584"/>
            <w:shd w:fill="F7FAFC"/>
            <w:tcMar>
              <w:top w:w="50" w:type="dxa"/>
              <w:bottom w:w="50" w:type="dxa"/>
              <w:left w:w="50" w:type="dxa"/>
              <w:right w:w="50" w:type="dxa"/>
            </w:tcMar>
          </w:tcPr>
          <w:p>
            <w:r>
              <w:rPr>
                <w:rFonts w:ascii="Calibri" w:hAnsi="Calibri"/>
                <w:b w:val="0"/>
                <w:color w:val="2D3748"/>
                <w:sz w:val="16"/>
              </w:rPr>
              <w:t>Simpler than MAML, excels on unimodal classes</w:t>
            </w:r>
          </w:p>
        </w:tc>
        <w:tc>
          <w:tcPr>
            <w:tcW w:type="dxa" w:w="1296"/>
            <w:shd w:fill="F7FAFC"/>
            <w:tcMar>
              <w:top w:w="50" w:type="dxa"/>
              <w:bottom w:w="50" w:type="dxa"/>
              <w:left w:w="50" w:type="dxa"/>
              <w:right w:w="50" w:type="dxa"/>
            </w:tcMar>
          </w:tcPr>
          <w:p>
            <w:r>
              <w:rPr>
                <w:rFonts w:ascii="Calibri" w:hAnsi="Calibri"/>
                <w:b w:val="0"/>
                <w:color w:val="2D3748"/>
                <w:sz w:val="16"/>
              </w:rPr>
              <w:t>Fails when intra-class variance is large</w:t>
            </w:r>
          </w:p>
        </w:tc>
        <w:tc>
          <w:tcPr>
            <w:tcW w:type="dxa" w:w="1253"/>
            <w:shd w:fill="F7FAFC"/>
            <w:tcMar>
              <w:top w:w="50" w:type="dxa"/>
              <w:bottom w:w="50" w:type="dxa"/>
              <w:left w:w="50" w:type="dxa"/>
              <w:right w:w="50" w:type="dxa"/>
            </w:tcMar>
          </w:tcPr>
          <w:p>
            <w:r>
              <w:rPr>
                <w:rFonts w:ascii="Calibri" w:hAnsi="Calibri"/>
                <w:b w:val="0"/>
                <w:color w:val="2D3748"/>
                <w:sz w:val="16"/>
              </w:rPr>
              <w:t>Forms core ProtoNet engine in MetaLearnHub</w:t>
            </w:r>
          </w:p>
        </w:tc>
      </w:tr>
      <w:tr>
        <w:tc>
          <w:tcPr>
            <w:tcW w:type="dxa" w:w="1584"/>
            <w:shd w:fill="FFFFFF"/>
            <w:tcMar>
              <w:top w:w="50" w:type="dxa"/>
              <w:bottom w:w="50" w:type="dxa"/>
              <w:left w:w="50" w:type="dxa"/>
              <w:right w:w="50" w:type="dxa"/>
            </w:tcMar>
          </w:tcPr>
          <w:p>
            <w:r>
              <w:rPr>
                <w:rFonts w:ascii="Calibri" w:hAnsi="Calibri"/>
                <w:b/>
                <w:color w:val="2D3748"/>
                <w:sz w:val="16"/>
              </w:rPr>
              <w:t>Vinyals et al. (2016) [2]</w:t>
            </w:r>
          </w:p>
        </w:tc>
        <w:tc>
          <w:tcPr>
            <w:tcW w:type="dxa" w:w="1296"/>
            <w:shd w:fill="FFFFFF"/>
            <w:tcMar>
              <w:top w:w="50" w:type="dxa"/>
              <w:bottom w:w="50" w:type="dxa"/>
              <w:left w:w="50" w:type="dxa"/>
              <w:right w:w="50" w:type="dxa"/>
            </w:tcMar>
          </w:tcPr>
          <w:p>
            <w:r>
              <w:rPr>
                <w:rFonts w:ascii="Calibri" w:hAnsi="Calibri"/>
                <w:b w:val="0"/>
                <w:color w:val="2D3748"/>
                <w:sz w:val="16"/>
              </w:rPr>
              <w:t>Rapid one-shot learning without fine-tuning</w:t>
            </w:r>
          </w:p>
        </w:tc>
        <w:tc>
          <w:tcPr>
            <w:tcW w:type="dxa" w:w="1440"/>
            <w:shd w:fill="FFFFFF"/>
            <w:tcMar>
              <w:top w:w="50" w:type="dxa"/>
              <w:bottom w:w="50" w:type="dxa"/>
              <w:left w:w="50" w:type="dxa"/>
              <w:right w:w="50" w:type="dxa"/>
            </w:tcMar>
          </w:tcPr>
          <w:p>
            <w:r>
              <w:rPr>
                <w:rFonts w:ascii="Calibri" w:hAnsi="Calibri"/>
                <w:b w:val="0"/>
                <w:color w:val="2D3748"/>
                <w:sz w:val="16"/>
              </w:rPr>
              <w:t>Matching Networks: Cosine attention over exemplars</w:t>
            </w:r>
          </w:p>
        </w:tc>
        <w:tc>
          <w:tcPr>
            <w:tcW w:type="dxa" w:w="1296"/>
            <w:shd w:fill="FFFFFF"/>
            <w:tcMar>
              <w:top w:w="50" w:type="dxa"/>
              <w:bottom w:w="50" w:type="dxa"/>
              <w:left w:w="50" w:type="dxa"/>
              <w:right w:w="50" w:type="dxa"/>
            </w:tcMar>
          </w:tcPr>
          <w:p>
            <w:r>
              <w:rPr>
                <w:rFonts w:ascii="Calibri" w:hAnsi="Calibri"/>
                <w:b w:val="0"/>
                <w:color w:val="2D3748"/>
                <w:sz w:val="16"/>
              </w:rPr>
              <w:t>Omniglot, ImageNet-1K</w:t>
            </w:r>
          </w:p>
        </w:tc>
        <w:tc>
          <w:tcPr>
            <w:tcW w:type="dxa" w:w="1584"/>
            <w:shd w:fill="FFFFFF"/>
            <w:tcMar>
              <w:top w:w="50" w:type="dxa"/>
              <w:bottom w:w="50" w:type="dxa"/>
              <w:left w:w="50" w:type="dxa"/>
              <w:right w:w="50" w:type="dxa"/>
            </w:tcMar>
          </w:tcPr>
          <w:p>
            <w:r>
              <w:rPr>
                <w:rFonts w:ascii="Calibri" w:hAnsi="Calibri"/>
                <w:b w:val="0"/>
                <w:color w:val="2D3748"/>
                <w:sz w:val="16"/>
              </w:rPr>
              <w:t>Remembers individual exemplars; avoids blur</w:t>
            </w:r>
          </w:p>
        </w:tc>
        <w:tc>
          <w:tcPr>
            <w:tcW w:type="dxa" w:w="1296"/>
            <w:shd w:fill="FFFFFF"/>
            <w:tcMar>
              <w:top w:w="50" w:type="dxa"/>
              <w:bottom w:w="50" w:type="dxa"/>
              <w:left w:w="50" w:type="dxa"/>
              <w:right w:w="50" w:type="dxa"/>
            </w:tcMar>
          </w:tcPr>
          <w:p>
            <w:r>
              <w:rPr>
                <w:rFonts w:ascii="Calibri" w:hAnsi="Calibri"/>
                <w:b w:val="0"/>
                <w:color w:val="2D3748"/>
                <w:sz w:val="16"/>
              </w:rPr>
              <w:t>Computation scales linearly with support set size</w:t>
            </w:r>
          </w:p>
        </w:tc>
        <w:tc>
          <w:tcPr>
            <w:tcW w:type="dxa" w:w="1253"/>
            <w:shd w:fill="FFFFFF"/>
            <w:tcMar>
              <w:top w:w="50" w:type="dxa"/>
              <w:bottom w:w="50" w:type="dxa"/>
              <w:left w:w="50" w:type="dxa"/>
              <w:right w:w="50" w:type="dxa"/>
            </w:tcMar>
          </w:tcPr>
          <w:p>
            <w:r>
              <w:rPr>
                <w:rFonts w:ascii="Calibri" w:hAnsi="Calibri"/>
                <w:b w:val="0"/>
                <w:color w:val="2D3748"/>
                <w:sz w:val="16"/>
              </w:rPr>
              <w:t>Integrated as exemplar memory module</w:t>
            </w:r>
          </w:p>
        </w:tc>
      </w:tr>
      <w:tr>
        <w:tc>
          <w:tcPr>
            <w:tcW w:type="dxa" w:w="1584"/>
            <w:shd w:fill="F7FAFC"/>
            <w:tcMar>
              <w:top w:w="50" w:type="dxa"/>
              <w:bottom w:w="50" w:type="dxa"/>
              <w:left w:w="50" w:type="dxa"/>
              <w:right w:w="50" w:type="dxa"/>
            </w:tcMar>
          </w:tcPr>
          <w:p>
            <w:r>
              <w:rPr>
                <w:rFonts w:ascii="Calibri" w:hAnsi="Calibri"/>
                <w:b/>
                <w:color w:val="2D3748"/>
                <w:sz w:val="16"/>
              </w:rPr>
              <w:t>Sung et al. (2018) [3]</w:t>
            </w:r>
          </w:p>
        </w:tc>
        <w:tc>
          <w:tcPr>
            <w:tcW w:type="dxa" w:w="1296"/>
            <w:shd w:fill="F7FAFC"/>
            <w:tcMar>
              <w:top w:w="50" w:type="dxa"/>
              <w:bottom w:w="50" w:type="dxa"/>
              <w:left w:w="50" w:type="dxa"/>
              <w:right w:w="50" w:type="dxa"/>
            </w:tcMar>
          </w:tcPr>
          <w:p>
            <w:r>
              <w:rPr>
                <w:rFonts w:ascii="Calibri" w:hAnsi="Calibri"/>
                <w:b w:val="0"/>
                <w:color w:val="2D3748"/>
                <w:sz w:val="16"/>
              </w:rPr>
              <w:t>Handcrafted distance metrics limit complexity</w:t>
            </w:r>
          </w:p>
        </w:tc>
        <w:tc>
          <w:tcPr>
            <w:tcW w:type="dxa" w:w="1440"/>
            <w:shd w:fill="F7FAFC"/>
            <w:tcMar>
              <w:top w:w="50" w:type="dxa"/>
              <w:bottom w:w="50" w:type="dxa"/>
              <w:left w:w="50" w:type="dxa"/>
              <w:right w:w="50" w:type="dxa"/>
            </w:tcMar>
          </w:tcPr>
          <w:p>
            <w:r>
              <w:rPr>
                <w:rFonts w:ascii="Calibri" w:hAnsi="Calibri"/>
                <w:b w:val="0"/>
                <w:color w:val="2D3748"/>
                <w:sz w:val="16"/>
              </w:rPr>
              <w:t>Relation Networks: Trainable 2D CNN comparator</w:t>
            </w:r>
          </w:p>
        </w:tc>
        <w:tc>
          <w:tcPr>
            <w:tcW w:type="dxa" w:w="1296"/>
            <w:shd w:fill="F7FAFC"/>
            <w:tcMar>
              <w:top w:w="50" w:type="dxa"/>
              <w:bottom w:w="50" w:type="dxa"/>
              <w:left w:w="50" w:type="dxa"/>
              <w:right w:w="50" w:type="dxa"/>
            </w:tcMar>
          </w:tcPr>
          <w:p>
            <w:r>
              <w:rPr>
                <w:rFonts w:ascii="Calibri" w:hAnsi="Calibri"/>
                <w:b w:val="0"/>
                <w:color w:val="2D3748"/>
                <w:sz w:val="16"/>
              </w:rPr>
              <w:t>miniImageNet, CUB-200</w:t>
            </w:r>
          </w:p>
        </w:tc>
        <w:tc>
          <w:tcPr>
            <w:tcW w:type="dxa" w:w="1584"/>
            <w:shd w:fill="F7FAFC"/>
            <w:tcMar>
              <w:top w:w="50" w:type="dxa"/>
              <w:bottom w:w="50" w:type="dxa"/>
              <w:left w:w="50" w:type="dxa"/>
              <w:right w:w="50" w:type="dxa"/>
            </w:tcMar>
          </w:tcPr>
          <w:p>
            <w:r>
              <w:rPr>
                <w:rFonts w:ascii="Calibri" w:hAnsi="Calibri"/>
                <w:b w:val="0"/>
                <w:color w:val="2D3748"/>
                <w:sz w:val="16"/>
              </w:rPr>
              <w:t>Learns non-linear similarities directly from data</w:t>
            </w:r>
          </w:p>
        </w:tc>
        <w:tc>
          <w:tcPr>
            <w:tcW w:type="dxa" w:w="1296"/>
            <w:shd w:fill="F7FAFC"/>
            <w:tcMar>
              <w:top w:w="50" w:type="dxa"/>
              <w:bottom w:w="50" w:type="dxa"/>
              <w:left w:w="50" w:type="dxa"/>
              <w:right w:w="50" w:type="dxa"/>
            </w:tcMar>
          </w:tcPr>
          <w:p>
            <w:r>
              <w:rPr>
                <w:rFonts w:ascii="Calibri" w:hAnsi="Calibri"/>
                <w:b w:val="0"/>
                <w:color w:val="2D3748"/>
                <w:sz w:val="16"/>
              </w:rPr>
              <w:t>Prone to probability collapse if uncalibrated</w:t>
            </w:r>
          </w:p>
        </w:tc>
        <w:tc>
          <w:tcPr>
            <w:tcW w:type="dxa" w:w="1253"/>
            <w:shd w:fill="F7FAFC"/>
            <w:tcMar>
              <w:top w:w="50" w:type="dxa"/>
              <w:bottom w:w="50" w:type="dxa"/>
              <w:left w:w="50" w:type="dxa"/>
              <w:right w:w="50" w:type="dxa"/>
            </w:tcMar>
          </w:tcPr>
          <w:p>
            <w:r>
              <w:rPr>
                <w:rFonts w:ascii="Calibri" w:hAnsi="Calibri"/>
                <w:b w:val="0"/>
                <w:color w:val="2D3748"/>
                <w:sz w:val="16"/>
              </w:rPr>
              <w:t>Upgraded in our work with relational diff/prod features</w:t>
            </w:r>
          </w:p>
        </w:tc>
      </w:tr>
      <w:tr>
        <w:tc>
          <w:tcPr>
            <w:tcW w:type="dxa" w:w="1584"/>
            <w:shd w:fill="FFFFFF"/>
            <w:tcMar>
              <w:top w:w="50" w:type="dxa"/>
              <w:bottom w:w="50" w:type="dxa"/>
              <w:left w:w="50" w:type="dxa"/>
              <w:right w:w="50" w:type="dxa"/>
            </w:tcMar>
          </w:tcPr>
          <w:p>
            <w:r>
              <w:rPr>
                <w:rFonts w:ascii="Calibri" w:hAnsi="Calibri"/>
                <w:b/>
                <w:color w:val="2D3748"/>
                <w:sz w:val="16"/>
              </w:rPr>
              <w:t>Finn et al. (2017) [4]</w:t>
            </w:r>
          </w:p>
        </w:tc>
        <w:tc>
          <w:tcPr>
            <w:tcW w:type="dxa" w:w="1296"/>
            <w:shd w:fill="FFFFFF"/>
            <w:tcMar>
              <w:top w:w="50" w:type="dxa"/>
              <w:bottom w:w="50" w:type="dxa"/>
              <w:left w:w="50" w:type="dxa"/>
              <w:right w:w="50" w:type="dxa"/>
            </w:tcMar>
          </w:tcPr>
          <w:p>
            <w:r>
              <w:rPr>
                <w:rFonts w:ascii="Calibri" w:hAnsi="Calibri"/>
                <w:b w:val="0"/>
                <w:color w:val="2D3748"/>
                <w:sz w:val="16"/>
              </w:rPr>
              <w:t>Generalizing across arbitrary tasks</w:t>
            </w:r>
          </w:p>
        </w:tc>
        <w:tc>
          <w:tcPr>
            <w:tcW w:type="dxa" w:w="1440"/>
            <w:shd w:fill="FFFFFF"/>
            <w:tcMar>
              <w:top w:w="50" w:type="dxa"/>
              <w:bottom w:w="50" w:type="dxa"/>
              <w:left w:w="50" w:type="dxa"/>
              <w:right w:w="50" w:type="dxa"/>
            </w:tcMar>
          </w:tcPr>
          <w:p>
            <w:r>
              <w:rPr>
                <w:rFonts w:ascii="Calibri" w:hAnsi="Calibri"/>
                <w:b w:val="0"/>
                <w:color w:val="2D3748"/>
                <w:sz w:val="16"/>
              </w:rPr>
              <w:t>MAML: Bilevel inner/outer loop optimization</w:t>
            </w:r>
          </w:p>
        </w:tc>
        <w:tc>
          <w:tcPr>
            <w:tcW w:type="dxa" w:w="1296"/>
            <w:shd w:fill="FFFFFF"/>
            <w:tcMar>
              <w:top w:w="50" w:type="dxa"/>
              <w:bottom w:w="50" w:type="dxa"/>
              <w:left w:w="50" w:type="dxa"/>
              <w:right w:w="50" w:type="dxa"/>
            </w:tcMar>
          </w:tcPr>
          <w:p>
            <w:r>
              <w:rPr>
                <w:rFonts w:ascii="Calibri" w:hAnsi="Calibri"/>
                <w:b w:val="0"/>
                <w:color w:val="2D3748"/>
                <w:sz w:val="16"/>
              </w:rPr>
              <w:t>Omniglot, Sinusoids, miniImageNet</w:t>
            </w:r>
          </w:p>
        </w:tc>
        <w:tc>
          <w:tcPr>
            <w:tcW w:type="dxa" w:w="1584"/>
            <w:shd w:fill="FFFFFF"/>
            <w:tcMar>
              <w:top w:w="50" w:type="dxa"/>
              <w:bottom w:w="50" w:type="dxa"/>
              <w:left w:w="50" w:type="dxa"/>
              <w:right w:w="50" w:type="dxa"/>
            </w:tcMar>
          </w:tcPr>
          <w:p>
            <w:r>
              <w:rPr>
                <w:rFonts w:ascii="Calibri" w:hAnsi="Calibri"/>
                <w:b w:val="0"/>
                <w:color w:val="2D3748"/>
                <w:sz w:val="16"/>
              </w:rPr>
              <w:t>Task-agnostic parameter initialization</w:t>
            </w:r>
          </w:p>
        </w:tc>
        <w:tc>
          <w:tcPr>
            <w:tcW w:type="dxa" w:w="1296"/>
            <w:shd w:fill="FFFFFF"/>
            <w:tcMar>
              <w:top w:w="50" w:type="dxa"/>
              <w:bottom w:w="50" w:type="dxa"/>
              <w:left w:w="50" w:type="dxa"/>
              <w:right w:w="50" w:type="dxa"/>
            </w:tcMar>
          </w:tcPr>
          <w:p>
            <w:r>
              <w:rPr>
                <w:rFonts w:ascii="Calibri" w:hAnsi="Calibri"/>
                <w:b w:val="0"/>
                <w:color w:val="2D3748"/>
                <w:sz w:val="16"/>
              </w:rPr>
              <w:t>Slow adaptation; computationally heavy inner loop</w:t>
            </w:r>
          </w:p>
        </w:tc>
        <w:tc>
          <w:tcPr>
            <w:tcW w:type="dxa" w:w="1253"/>
            <w:shd w:fill="FFFFFF"/>
            <w:tcMar>
              <w:top w:w="50" w:type="dxa"/>
              <w:bottom w:w="50" w:type="dxa"/>
              <w:left w:w="50" w:type="dxa"/>
              <w:right w:w="50" w:type="dxa"/>
            </w:tcMar>
          </w:tcPr>
          <w:p>
            <w:r>
              <w:rPr>
                <w:rFonts w:ascii="Calibri" w:hAnsi="Calibri"/>
                <w:b w:val="0"/>
                <w:color w:val="2D3748"/>
                <w:sz w:val="16"/>
              </w:rPr>
              <w:t>Integrated as optimization-based engine</w:t>
            </w:r>
          </w:p>
        </w:tc>
      </w:tr>
      <w:tr>
        <w:tc>
          <w:tcPr>
            <w:tcW w:type="dxa" w:w="1584"/>
            <w:shd w:fill="F7FAFC"/>
            <w:tcMar>
              <w:top w:w="50" w:type="dxa"/>
              <w:bottom w:w="50" w:type="dxa"/>
              <w:left w:w="50" w:type="dxa"/>
              <w:right w:w="50" w:type="dxa"/>
            </w:tcMar>
          </w:tcPr>
          <w:p>
            <w:r>
              <w:rPr>
                <w:rFonts w:ascii="Calibri" w:hAnsi="Calibri"/>
                <w:b/>
                <w:color w:val="2D3748"/>
                <w:sz w:val="16"/>
              </w:rPr>
              <w:t>Chen et al. (2019) [5]</w:t>
            </w:r>
          </w:p>
        </w:tc>
        <w:tc>
          <w:tcPr>
            <w:tcW w:type="dxa" w:w="1296"/>
            <w:shd w:fill="F7FAFC"/>
            <w:tcMar>
              <w:top w:w="50" w:type="dxa"/>
              <w:bottom w:w="50" w:type="dxa"/>
              <w:left w:w="50" w:type="dxa"/>
              <w:right w:w="50" w:type="dxa"/>
            </w:tcMar>
          </w:tcPr>
          <w:p>
            <w:r>
              <w:rPr>
                <w:rFonts w:ascii="Calibri" w:hAnsi="Calibri"/>
                <w:b w:val="0"/>
                <w:color w:val="2D3748"/>
                <w:sz w:val="16"/>
              </w:rPr>
              <w:t>Lack of fair baselines in FSL literature</w:t>
            </w:r>
          </w:p>
        </w:tc>
        <w:tc>
          <w:tcPr>
            <w:tcW w:type="dxa" w:w="1440"/>
            <w:shd w:fill="F7FAFC"/>
            <w:tcMar>
              <w:top w:w="50" w:type="dxa"/>
              <w:bottom w:w="50" w:type="dxa"/>
              <w:left w:w="50" w:type="dxa"/>
              <w:right w:w="50" w:type="dxa"/>
            </w:tcMar>
          </w:tcPr>
          <w:p>
            <w:r>
              <w:rPr>
                <w:rFonts w:ascii="Calibri" w:hAnsi="Calibri"/>
                <w:b w:val="0"/>
                <w:color w:val="2D3748"/>
                <w:sz w:val="16"/>
              </w:rPr>
              <w:t>Standard Linear Supervised Probe vs ProtoNet</w:t>
            </w:r>
          </w:p>
        </w:tc>
        <w:tc>
          <w:tcPr>
            <w:tcW w:type="dxa" w:w="1296"/>
            <w:shd w:fill="F7FAFC"/>
            <w:tcMar>
              <w:top w:w="50" w:type="dxa"/>
              <w:bottom w:w="50" w:type="dxa"/>
              <w:left w:w="50" w:type="dxa"/>
              <w:right w:w="50" w:type="dxa"/>
            </w:tcMar>
          </w:tcPr>
          <w:p>
            <w:r>
              <w:rPr>
                <w:rFonts w:ascii="Calibri" w:hAnsi="Calibri"/>
                <w:b w:val="0"/>
                <w:color w:val="2D3748"/>
                <w:sz w:val="16"/>
              </w:rPr>
              <w:t>CUB-200, miniImageNet</w:t>
            </w:r>
          </w:p>
        </w:tc>
        <w:tc>
          <w:tcPr>
            <w:tcW w:type="dxa" w:w="1584"/>
            <w:shd w:fill="F7FAFC"/>
            <w:tcMar>
              <w:top w:w="50" w:type="dxa"/>
              <w:bottom w:w="50" w:type="dxa"/>
              <w:left w:w="50" w:type="dxa"/>
              <w:right w:w="50" w:type="dxa"/>
            </w:tcMar>
          </w:tcPr>
          <w:p>
            <w:r>
              <w:rPr>
                <w:rFonts w:ascii="Calibri" w:hAnsi="Calibri"/>
                <w:b w:val="0"/>
                <w:color w:val="2D3748"/>
                <w:sz w:val="16"/>
              </w:rPr>
              <w:t>Linear probe matches FSL when backbone is strong</w:t>
            </w:r>
          </w:p>
        </w:tc>
        <w:tc>
          <w:tcPr>
            <w:tcW w:type="dxa" w:w="1296"/>
            <w:shd w:fill="F7FAFC"/>
            <w:tcMar>
              <w:top w:w="50" w:type="dxa"/>
              <w:bottom w:w="50" w:type="dxa"/>
              <w:left w:w="50" w:type="dxa"/>
              <w:right w:w="50" w:type="dxa"/>
            </w:tcMar>
          </w:tcPr>
          <w:p>
            <w:r>
              <w:rPr>
                <w:rFonts w:ascii="Calibri" w:hAnsi="Calibri"/>
                <w:b w:val="0"/>
                <w:color w:val="2D3748"/>
                <w:sz w:val="16"/>
              </w:rPr>
              <w:t>Linear probe fails on incremental open-set</w:t>
            </w:r>
          </w:p>
        </w:tc>
        <w:tc>
          <w:tcPr>
            <w:tcW w:type="dxa" w:w="1253"/>
            <w:shd w:fill="F7FAFC"/>
            <w:tcMar>
              <w:top w:w="50" w:type="dxa"/>
              <w:bottom w:w="50" w:type="dxa"/>
              <w:left w:w="50" w:type="dxa"/>
              <w:right w:w="50" w:type="dxa"/>
            </w:tcMar>
          </w:tcPr>
          <w:p>
            <w:r>
              <w:rPr>
                <w:rFonts w:ascii="Calibri" w:hAnsi="Calibri"/>
                <w:b w:val="0"/>
                <w:color w:val="2D3748"/>
                <w:sz w:val="16"/>
              </w:rPr>
              <w:t>Directly inspires our Section 3.5 empirical comparison</w:t>
            </w:r>
          </w:p>
        </w:tc>
      </w:tr>
      <w:tr>
        <w:tc>
          <w:tcPr>
            <w:tcW w:type="dxa" w:w="1584"/>
            <w:shd w:fill="FFFFFF"/>
            <w:tcMar>
              <w:top w:w="50" w:type="dxa"/>
              <w:bottom w:w="50" w:type="dxa"/>
              <w:left w:w="50" w:type="dxa"/>
              <w:right w:w="50" w:type="dxa"/>
            </w:tcMar>
          </w:tcPr>
          <w:p>
            <w:r>
              <w:rPr>
                <w:rFonts w:ascii="Calibri" w:hAnsi="Calibri"/>
                <w:b/>
                <w:color w:val="2D3748"/>
                <w:sz w:val="16"/>
              </w:rPr>
              <w:t>Bendale &amp; Boult (2016) [6]</w:t>
            </w:r>
          </w:p>
        </w:tc>
        <w:tc>
          <w:tcPr>
            <w:tcW w:type="dxa" w:w="1296"/>
            <w:shd w:fill="FFFFFF"/>
            <w:tcMar>
              <w:top w:w="50" w:type="dxa"/>
              <w:bottom w:w="50" w:type="dxa"/>
              <w:left w:w="50" w:type="dxa"/>
              <w:right w:w="50" w:type="dxa"/>
            </w:tcMar>
          </w:tcPr>
          <w:p>
            <w:r>
              <w:rPr>
                <w:rFonts w:ascii="Calibri" w:hAnsi="Calibri"/>
                <w:b w:val="0"/>
                <w:color w:val="2D3748"/>
                <w:sz w:val="16"/>
              </w:rPr>
              <w:t>Deep neural networks are overly confident on OOD</w:t>
            </w:r>
          </w:p>
        </w:tc>
        <w:tc>
          <w:tcPr>
            <w:tcW w:type="dxa" w:w="1440"/>
            <w:shd w:fill="FFFFFF"/>
            <w:tcMar>
              <w:top w:w="50" w:type="dxa"/>
              <w:bottom w:w="50" w:type="dxa"/>
              <w:left w:w="50" w:type="dxa"/>
              <w:right w:w="50" w:type="dxa"/>
            </w:tcMar>
          </w:tcPr>
          <w:p>
            <w:r>
              <w:rPr>
                <w:rFonts w:ascii="Calibri" w:hAnsi="Calibri"/>
                <w:b w:val="0"/>
                <w:color w:val="2D3748"/>
                <w:sz w:val="16"/>
              </w:rPr>
              <w:t>OpenMax: Extreme value theory thresholding</w:t>
            </w:r>
          </w:p>
        </w:tc>
        <w:tc>
          <w:tcPr>
            <w:tcW w:type="dxa" w:w="1296"/>
            <w:shd w:fill="FFFFFF"/>
            <w:tcMar>
              <w:top w:w="50" w:type="dxa"/>
              <w:bottom w:w="50" w:type="dxa"/>
              <w:left w:w="50" w:type="dxa"/>
              <w:right w:w="50" w:type="dxa"/>
            </w:tcMar>
          </w:tcPr>
          <w:p>
            <w:r>
              <w:rPr>
                <w:rFonts w:ascii="Calibri" w:hAnsi="Calibri"/>
                <w:b w:val="0"/>
                <w:color w:val="2D3748"/>
                <w:sz w:val="16"/>
              </w:rPr>
              <w:t>ImageNet-1K, Synsets</w:t>
            </w:r>
          </w:p>
        </w:tc>
        <w:tc>
          <w:tcPr>
            <w:tcW w:type="dxa" w:w="1584"/>
            <w:shd w:fill="FFFFFF"/>
            <w:tcMar>
              <w:top w:w="50" w:type="dxa"/>
              <w:bottom w:w="50" w:type="dxa"/>
              <w:left w:w="50" w:type="dxa"/>
              <w:right w:w="50" w:type="dxa"/>
            </w:tcMar>
          </w:tcPr>
          <w:p>
            <w:r>
              <w:rPr>
                <w:rFonts w:ascii="Calibri" w:hAnsi="Calibri"/>
                <w:b w:val="0"/>
                <w:color w:val="2D3748"/>
                <w:sz w:val="16"/>
              </w:rPr>
              <w:t>Rejects alien categories by adapting softmax</w:t>
            </w:r>
          </w:p>
        </w:tc>
        <w:tc>
          <w:tcPr>
            <w:tcW w:type="dxa" w:w="1296"/>
            <w:shd w:fill="FFFFFF"/>
            <w:tcMar>
              <w:top w:w="50" w:type="dxa"/>
              <w:bottom w:w="50" w:type="dxa"/>
              <w:left w:w="50" w:type="dxa"/>
              <w:right w:w="50" w:type="dxa"/>
            </w:tcMar>
          </w:tcPr>
          <w:p>
            <w:r>
              <w:rPr>
                <w:rFonts w:ascii="Calibri" w:hAnsi="Calibri"/>
                <w:b w:val="0"/>
                <w:color w:val="2D3748"/>
                <w:sz w:val="16"/>
              </w:rPr>
              <w:t>Assumes large closed-set training pools</w:t>
            </w:r>
          </w:p>
        </w:tc>
        <w:tc>
          <w:tcPr>
            <w:tcW w:type="dxa" w:w="1253"/>
            <w:shd w:fill="FFFFFF"/>
            <w:tcMar>
              <w:top w:w="50" w:type="dxa"/>
              <w:bottom w:w="50" w:type="dxa"/>
              <w:left w:w="50" w:type="dxa"/>
              <w:right w:w="50" w:type="dxa"/>
            </w:tcMar>
          </w:tcPr>
          <w:p>
            <w:r>
              <w:rPr>
                <w:rFonts w:ascii="Calibri" w:hAnsi="Calibri"/>
                <w:b w:val="0"/>
                <w:color w:val="2D3748"/>
                <w:sz w:val="16"/>
              </w:rPr>
              <w:t>Adapted into our tri-gate hyperspherical radius system</w:t>
            </w:r>
          </w:p>
        </w:tc>
      </w:tr>
    </w:tbl>
    <w:p>
      <w:pPr>
        <w:spacing w:after="160"/>
      </w:pPr>
      <w:r>
        <w:rPr>
          <w:rFonts w:ascii="Calibri" w:hAnsi="Calibri"/>
          <w:i/>
          <w:color w:val="718096"/>
          <w:sz w:val="17"/>
        </w:rPr>
        <w:t>Table 3: Comparative Analysis of Seminal and Contemporary Research Literature.</w:t>
      </w:r>
    </w:p>
    <w:p>
      <w:pPr>
        <w:keepNext/>
        <w:spacing w:before="200" w:after="60"/>
      </w:pPr>
      <w:r>
        <w:rPr>
          <w:rFonts w:ascii="Calibri" w:hAnsi="Calibri"/>
          <w:b/>
          <w:color w:val="2B6CB0"/>
          <w:sz w:val="22"/>
        </w:rPr>
        <w:t>2.3 Research Gap and Its Influence on Project Design</w:t>
      </w:r>
    </w:p>
    <w:p>
      <w:pPr>
        <w:spacing w:before="0" w:after="80" w:line="276" w:lineRule="auto"/>
      </w:pPr>
      <w:r>
        <w:rPr>
          <w:rFonts w:ascii="Calibri" w:hAnsi="Calibri"/>
          <w:color w:val="2D3748"/>
          <w:sz w:val="19"/>
        </w:rPr>
        <w:t>Existing literature predominantly analyzes meta-learning algorithms in idealized, closed-set synthetic settings. Snell et al. [1] and Vinyals et al. [2] benchmarked on miniImageNet where queries are guaranteed to belong to one of 5 classes. In practical applications, this produces catastrophic failure: an out-of-distribution image (e.g., an elephant shown to a dog/cat system) is arbitrarily assigned to a class with high false confidence. Furthermore, Chen et al. [5] demonstrated that conventional fine-tuning can compete with FSL, but failed to address incremental enrollment without catastrophic forgetting. MetaLearnHub bridges this divide by embedding four algorithms into a single unified registry architecture with mathematically bounded hyperspherical open-set rejection.</w:t>
      </w:r>
    </w:p>
    <w:p>
      <w:pPr>
        <w:keepNext/>
        <w:spacing w:before="200" w:after="60"/>
      </w:pPr>
      <w:r>
        <w:rPr>
          <w:rFonts w:ascii="Calibri" w:hAnsi="Calibri"/>
          <w:b/>
          <w:color w:val="2B6CB0"/>
          <w:sz w:val="22"/>
        </w:rPr>
        <w:t>2.4 System Architecture and Proposed Methodology</w:t>
      </w:r>
    </w:p>
    <w:p>
      <w:pPr>
        <w:spacing w:before="0" w:after="80" w:line="276" w:lineRule="auto"/>
      </w:pPr>
      <w:r>
        <w:rPr>
          <w:rFonts w:ascii="Calibri" w:hAnsi="Calibri"/>
          <w:color w:val="2D3748"/>
          <w:sz w:val="19"/>
        </w:rPr>
        <w:t>MetaLearnHub is architecturally divided into five decoupled operational layers, ensuring high modularity and fault tolerance:</w:t>
      </w:r>
    </w:p>
    <w:p>
      <w:pPr>
        <w:pStyle w:val="ListBullet"/>
        <w:spacing w:before="0" w:after="40" w:line="264" w:lineRule="auto"/>
      </w:pPr>
      <w:r>
        <w:rPr>
          <w:rFonts w:ascii="Calibri" w:hAnsi="Calibri"/>
          <w:b/>
          <w:color w:val="2D3748"/>
          <w:sz w:val="19"/>
        </w:rPr>
        <w:t xml:space="preserve">1. </w:t>
      </w:r>
      <w:r>
        <w:rPr>
          <w:rFonts w:ascii="Calibri" w:hAnsi="Calibri"/>
          <w:color w:val="2D3748"/>
          <w:sz w:val="19"/>
        </w:rPr>
        <w:t>Client Presentation Layer: Developed in React 18, TypeScript, and Vite. Provides real-time drag-and-drop support enrollment, live classification visualization with probability confidence bars, and comparative benchmark telemetry.</w:t>
      </w:r>
    </w:p>
    <w:p>
      <w:pPr>
        <w:pStyle w:val="ListBullet"/>
        <w:spacing w:before="0" w:after="40" w:line="264" w:lineRule="auto"/>
      </w:pPr>
      <w:r>
        <w:rPr>
          <w:rFonts w:ascii="Calibri" w:hAnsi="Calibri"/>
          <w:b/>
          <w:color w:val="2D3748"/>
          <w:sz w:val="19"/>
        </w:rPr>
        <w:t xml:space="preserve">2. </w:t>
      </w:r>
      <w:r>
        <w:rPr>
          <w:rFonts w:ascii="Calibri" w:hAnsi="Calibri"/>
          <w:color w:val="2D3748"/>
          <w:sz w:val="19"/>
        </w:rPr>
        <w:t>Application &amp; API Layer: Implemented in FastAPI (Python 3.12). Manages asynchronous REST endpoints for dataset inspection (/api/dataset), episodic training (/api/training), evaluation runs (/api/evaluation), and low-latency query inference (/api/predict).</w:t>
      </w:r>
    </w:p>
    <w:p>
      <w:pPr>
        <w:pStyle w:val="ListBullet"/>
        <w:spacing w:before="0" w:after="40" w:line="264" w:lineRule="auto"/>
      </w:pPr>
      <w:r>
        <w:rPr>
          <w:rFonts w:ascii="Calibri" w:hAnsi="Calibri"/>
          <w:b/>
          <w:color w:val="2D3748"/>
          <w:sz w:val="19"/>
        </w:rPr>
        <w:t xml:space="preserve">3. </w:t>
      </w:r>
      <w:r>
        <w:rPr>
          <w:rFonts w:ascii="Calibri" w:hAnsi="Calibri"/>
          <w:color w:val="2D3748"/>
          <w:sz w:val="19"/>
        </w:rPr>
        <w:t>Core Meta-Learning AI Engine: Contains the pre-trained ResNet-50 feature manifold extractor (yielding 2048-dim vectors), Prototypical Networks, Matching Networks, Relation Networks, MAML, and the Consensus Ensemble Head.</w:t>
      </w:r>
    </w:p>
    <w:p>
      <w:pPr>
        <w:pStyle w:val="ListBullet"/>
        <w:spacing w:before="0" w:after="40" w:line="264" w:lineRule="auto"/>
      </w:pPr>
      <w:r>
        <w:rPr>
          <w:rFonts w:ascii="Calibri" w:hAnsi="Calibri"/>
          <w:b/>
          <w:color w:val="2D3748"/>
          <w:sz w:val="19"/>
        </w:rPr>
        <w:t xml:space="preserve">4. </w:t>
      </w:r>
      <w:r>
        <w:rPr>
          <w:rFonts w:ascii="Calibri" w:hAnsi="Calibri"/>
          <w:color w:val="2D3748"/>
          <w:sz w:val="19"/>
        </w:rPr>
        <w:t>Persistent Class Registry Storage: Serializes registered classes to disk under data/class_registry/ storing raw support images, PyTorch normalized embedding tensors, prototype vectors, and calculated intra-class radii.</w:t>
      </w:r>
    </w:p>
    <w:p>
      <w:pPr>
        <w:pStyle w:val="ListBullet"/>
        <w:spacing w:before="0" w:after="40" w:line="264" w:lineRule="auto"/>
      </w:pPr>
      <w:r>
        <w:rPr>
          <w:rFonts w:ascii="Calibri" w:hAnsi="Calibri"/>
          <w:b/>
          <w:color w:val="2D3748"/>
          <w:sz w:val="19"/>
        </w:rPr>
        <w:t xml:space="preserve">5. </w:t>
      </w:r>
      <w:r>
        <w:rPr>
          <w:rFonts w:ascii="Calibri" w:hAnsi="Calibri"/>
          <w:color w:val="2D3748"/>
          <w:sz w:val="19"/>
        </w:rPr>
        <w:t>Verification &amp; Open-Set Rejection Gate: Executes the tri-gate decision pipeline (distance check, competitive margin check, and certainty gating &gt;= 50.0%) to guarantee robust open-set discrimination.</w:t>
      </w:r>
    </w:p>
    <w:tbl>
      <w:tblPr>
        <w:tblW w:type="auto" w:w="0"/>
        <w:jc w:val="center"/>
        <w:tblLayout w:type="fixed"/>
        <w:tblLook w:firstColumn="1" w:firstRow="1" w:lastColumn="0" w:lastRow="0" w:noHBand="0" w:noVBand="1" w:val="04A0"/>
      </w:tblPr>
      <w:tblGrid>
        <w:gridCol w:w="9749"/>
      </w:tblGrid>
      <w:tr>
        <w:tc>
          <w:tcPr>
            <w:tcW w:type="dxa" w:w="9749"/>
            <w:shd w:fill="F0F4F8"/>
            <w:tcMar>
              <w:top w:w="80" w:type="dxa"/>
              <w:bottom w:w="80" w:type="dxa"/>
              <w:left w:w="120" w:type="dxa"/>
              <w:right w:w="120" w:type="dxa"/>
            </w:tcMar>
            <w:tcBorders>
              <w:left w:val="single" w:sz="18" w:space="0" w:color="2B6CB0"/>
              <w:top w:val="none"/>
              <w:right w:val="none"/>
              <w:bottom w:val="none"/>
            </w:tcBorders>
          </w:tcPr>
          <w:p>
            <w:pPr>
              <w:spacing w:before="40" w:after="40"/>
            </w:pPr>
            <w:r>
              <w:rPr>
                <w:rFonts w:ascii="Calibri" w:hAnsi="Calibri"/>
                <w:b/>
                <w:color w:val="2B6CB0"/>
                <w:sz w:val="18"/>
              </w:rPr>
              <w:t xml:space="preserve">ARCHITECTURE TELEMETRY &amp; PIPELINE: </w:t>
            </w:r>
            <w:r>
              <w:rPr>
                <w:rFonts w:ascii="Calibri" w:hAnsi="Calibri"/>
                <w:color w:val="2D3748"/>
                <w:sz w:val="18"/>
              </w:rPr>
              <w:t>SYSTEM DATA FLOW PIPELINE:</w:t>
              <w:br/>
              <w:t>[Query Image] -&gt; [Preprocess: Resize 224x224, ImageNet Normalization]</w:t>
              <w:br/>
              <w:t xml:space="preserve">  -&gt; [ResNet-50 Feature Extractor: 2048-dim Latent Space] -&gt; [L2 Hypersphere Normalization: ||z||_2 = 1.0]</w:t>
              <w:br/>
              <w:t xml:space="preserve">  -&gt; [Parallel Evaluator Head: ProtoNet Centroid + MatchingNet Attention + RelationNet MLP + MAML Inner SGD]</w:t>
              <w:br/>
              <w:t xml:space="preserve">  -&gt; [Consensus Ensemble: P_ens = 0.35*P_proto + 0.30*P_match + 0.20*P_rel + 0.15*P_maml]</w:t>
              <w:br/>
              <w:t xml:space="preserve">  -&gt; [Tri-Gate Open-Set Filter: dist &lt;= radius AND rel_gap &gt;= 0.05 AND conf &gt;= 50.0%]</w:t>
              <w:br/>
              <w:t xml:space="preserve">  -&gt; Output: [MATCH FOUND] (Class, Confidence %) OR [MATCH NOT FOUND / UNKNOWN] (0.0% Conf, Reason)</w:t>
            </w:r>
          </w:p>
        </w:tc>
      </w:tr>
    </w:tbl>
    <w:p>
      <w:pPr>
        <w:spacing w:after="40"/>
      </w:pPr>
    </w:p>
    <w:p>
      <w:pPr>
        <w:keepNext/>
        <w:spacing w:before="200" w:after="60"/>
      </w:pPr>
      <w:r>
        <w:rPr>
          <w:rFonts w:ascii="Calibri" w:hAnsi="Calibri"/>
          <w:b/>
          <w:color w:val="2B6CB0"/>
          <w:sz w:val="22"/>
        </w:rPr>
        <w:t>2.5 Research Design and Justification</w:t>
      </w:r>
    </w:p>
    <w:p>
      <w:pPr>
        <w:spacing w:before="0" w:after="80" w:line="276" w:lineRule="auto"/>
      </w:pPr>
      <w:r>
        <w:rPr>
          <w:rFonts w:ascii="Calibri" w:hAnsi="Calibri"/>
          <w:color w:val="2D3748"/>
          <w:sz w:val="19"/>
        </w:rPr>
        <w:t>The methodology adopts an empirical Design-Science Research (DSR) strategy coupled with benchmark-based quantitative evaluation. DSR is uniquely suited because it focuses on engineering and validating a novel software artifact solving an identified practical problem. Controlled benchmark testing isolates independent variables (algorithm selection, support sample count K, presence of OOD outliers) while measuring dependent outcomes (accuracy, latency, open-set rejection rate) under strict experimental controls (identical hardware, identical seed, zero data leakage between support and query sets).</w:t>
      </w:r>
    </w:p>
    <w:p>
      <w:pPr>
        <w:keepNext/>
        <w:spacing w:before="280" w:after="80"/>
      </w:pPr>
      <w:r>
        <w:rPr>
          <w:rFonts w:ascii="Calibri" w:hAnsi="Calibri"/>
          <w:b/>
          <w:color w:val="1A365D"/>
          <w:sz w:val="26"/>
        </w:rPr>
        <w:t>UNIT III — DATA, EVIDENCE AND ANALYSIS</w:t>
      </w:r>
    </w:p>
    <w:p>
      <w:pPr>
        <w:keepNext/>
        <w:spacing w:before="200" w:after="60"/>
      </w:pPr>
      <w:r>
        <w:rPr>
          <w:rFonts w:ascii="Calibri" w:hAnsi="Calibri"/>
          <w:b/>
          <w:color w:val="2B6CB0"/>
          <w:sz w:val="22"/>
        </w:rPr>
        <w:t>3.1 Data Collection and Experimental Setup</w:t>
      </w:r>
    </w:p>
    <w:p>
      <w:pPr>
        <w:spacing w:before="0" w:after="80" w:line="276" w:lineRule="auto"/>
      </w:pPr>
      <w:r>
        <w:rPr>
          <w:rFonts w:ascii="Calibri" w:hAnsi="Calibri"/>
          <w:color w:val="2D3748"/>
          <w:sz w:val="19"/>
        </w:rPr>
        <w:t>The experimental evaluation utilizes real-world photographic datasets and dynamic user-contributed image sets:</w:t>
      </w:r>
    </w:p>
    <w:p>
      <w:pPr>
        <w:pStyle w:val="ListBullet"/>
        <w:spacing w:before="0" w:after="40" w:line="264" w:lineRule="auto"/>
      </w:pPr>
      <w:r>
        <w:rPr>
          <w:rFonts w:ascii="Calibri" w:hAnsi="Calibri"/>
          <w:b/>
          <w:color w:val="2D3748"/>
          <w:sz w:val="19"/>
        </w:rPr>
        <w:t xml:space="preserve">1. Base Distribution: </w:t>
      </w:r>
      <w:r>
        <w:rPr>
          <w:rFonts w:ascii="Calibri" w:hAnsi="Calibri"/>
          <w:color w:val="2D3748"/>
          <w:sz w:val="19"/>
        </w:rPr>
        <w:t>Base Category Dataset: Animals-10 raw image dataset (archive (1) (1)/raw-img) comprising 26,179 images across 10 natural categories: Butterfly (2,112), Cattle (1,866), Dog (3,042), Elephant (1,421), Cat/gatto (1,668), Hen (2,555), Horse (1,829), Sheep (1,528), Spider (4,791), and Squirrel (1,540).</w:t>
      </w:r>
    </w:p>
    <w:p>
      <w:pPr>
        <w:pStyle w:val="ListBullet"/>
        <w:spacing w:before="0" w:after="40" w:line="264" w:lineRule="auto"/>
      </w:pPr>
      <w:r>
        <w:rPr>
          <w:rFonts w:ascii="Calibri" w:hAnsi="Calibri"/>
          <w:b/>
          <w:color w:val="2D3748"/>
          <w:sz w:val="19"/>
        </w:rPr>
        <w:t xml:space="preserve">2. Domain Distribution: </w:t>
      </w:r>
      <w:r>
        <w:rPr>
          <w:rFonts w:ascii="Calibri" w:hAnsi="Calibri"/>
          <w:color w:val="2D3748"/>
          <w:sz w:val="19"/>
        </w:rPr>
        <w:t>Controlled Cattle Breeds Dataset: 1,208 high-resolution images across 5 specialized cattle breeds: Ayrshire, Brown Swiss, Holstein Friesian, Jersey, and Red Dane.</w:t>
      </w:r>
    </w:p>
    <w:p>
      <w:pPr>
        <w:pStyle w:val="ListBullet"/>
        <w:spacing w:before="0" w:after="40" w:line="264" w:lineRule="auto"/>
      </w:pPr>
      <w:r>
        <w:rPr>
          <w:rFonts w:ascii="Calibri" w:hAnsi="Calibri"/>
          <w:b/>
          <w:color w:val="2D3748"/>
          <w:sz w:val="19"/>
        </w:rPr>
        <w:t xml:space="preserve">3. Novel Support Sets: </w:t>
      </w:r>
      <w:r>
        <w:rPr>
          <w:rFonts w:ascii="Calibri" w:hAnsi="Calibri"/>
          <w:color w:val="2D3748"/>
          <w:sz w:val="19"/>
        </w:rPr>
        <w:t>Dynamic Few-Shot Enrollment Sets: Novel real-world test classes registered with exactly K = 5 support exemplars each: Rabbit, Monkey, Zebra, and Snake.</w:t>
      </w:r>
    </w:p>
    <w:p>
      <w:pPr>
        <w:pStyle w:val="ListBullet"/>
        <w:spacing w:before="0" w:after="40" w:line="264" w:lineRule="auto"/>
      </w:pPr>
      <w:r>
        <w:rPr>
          <w:rFonts w:ascii="Calibri" w:hAnsi="Calibri"/>
          <w:b/>
          <w:color w:val="2D3748"/>
          <w:sz w:val="19"/>
        </w:rPr>
        <w:t xml:space="preserve">4. Open-Set Test Set: </w:t>
      </w:r>
      <w:r>
        <w:rPr>
          <w:rFonts w:ascii="Calibri" w:hAnsi="Calibri"/>
          <w:color w:val="2D3748"/>
          <w:sz w:val="19"/>
        </w:rPr>
        <w:t>Open-Set Outlier Verification Suite: Out-of-distribution queries designed to evaluate rejection boundaries: unregistered wildlife (Tiger), stylized digital illustrations (Hanuman artwork), and sacred deity paintings (Ganesha artwork).</w:t>
      </w:r>
    </w:p>
    <w:p>
      <w:pPr>
        <w:pStyle w:val="ListBullet"/>
        <w:spacing w:before="0" w:after="40" w:line="264" w:lineRule="auto"/>
      </w:pPr>
      <w:r>
        <w:rPr>
          <w:rFonts w:ascii="Calibri" w:hAnsi="Calibri"/>
          <w:b/>
          <w:color w:val="2D3748"/>
          <w:sz w:val="19"/>
        </w:rPr>
        <w:t xml:space="preserve">5. Computational Setup: </w:t>
      </w:r>
      <w:r>
        <w:rPr>
          <w:rFonts w:ascii="Calibri" w:hAnsi="Calibri"/>
          <w:color w:val="2D3748"/>
          <w:sz w:val="19"/>
        </w:rPr>
        <w:t>Hardware &amp; Runtime Environment: Intel Core i7 / AMD CPU execution environment (simulating realistic resource-constrained edge server deployments), 16GB RAM, Python 3.12, PyTorch 2.5, Torchvision 0.20, Windows 11 OS.</w:t>
      </w:r>
    </w:p>
    <w:p>
      <w:pPr>
        <w:keepNext/>
        <w:spacing w:before="200" w:after="60"/>
      </w:pPr>
      <w:r>
        <w:rPr>
          <w:rFonts w:ascii="Calibri" w:hAnsi="Calibri"/>
          <w:b/>
          <w:color w:val="2B6CB0"/>
          <w:sz w:val="22"/>
        </w:rPr>
        <w:t>3.2 Data Preparation and Leakage Prevention</w:t>
      </w:r>
    </w:p>
    <w:p>
      <w:pPr>
        <w:spacing w:before="0" w:after="80" w:line="276" w:lineRule="auto"/>
      </w:pPr>
      <w:r>
        <w:rPr>
          <w:rFonts w:ascii="Calibri" w:hAnsi="Calibri"/>
          <w:color w:val="2D3748"/>
          <w:sz w:val="19"/>
        </w:rPr>
        <w:t>Strict methodological protocols prevent data contamination and bias:</w:t>
      </w:r>
    </w:p>
    <w:p>
      <w:pPr>
        <w:pStyle w:val="ListBullet"/>
        <w:spacing w:before="0" w:after="40" w:line="264" w:lineRule="auto"/>
      </w:pPr>
      <w:r>
        <w:rPr>
          <w:rFonts w:ascii="Calibri" w:hAnsi="Calibri"/>
          <w:b/>
          <w:color w:val="2D3748"/>
          <w:sz w:val="19"/>
        </w:rPr>
        <w:t xml:space="preserve">1. Anti-Leakage Protocol: </w:t>
      </w:r>
      <w:r>
        <w:rPr>
          <w:rFonts w:ascii="Calibri" w:hAnsi="Calibri"/>
          <w:color w:val="2D3748"/>
          <w:sz w:val="19"/>
        </w:rPr>
        <w:t>Atomic Sample-Group Pairing: Augmented image pairs (base_name.jpg and base_name_c.jpg) share a persistent sample_group_id. When splitting data, paired images are allocated atomically to the same partition, preventing catastrophic data leakage.</w:t>
      </w:r>
    </w:p>
    <w:p>
      <w:pPr>
        <w:pStyle w:val="ListBullet"/>
        <w:spacing w:before="0" w:after="40" w:line="264" w:lineRule="auto"/>
      </w:pPr>
      <w:r>
        <w:rPr>
          <w:rFonts w:ascii="Calibri" w:hAnsi="Calibri"/>
          <w:b/>
          <w:color w:val="2D3748"/>
          <w:sz w:val="19"/>
        </w:rPr>
        <w:t xml:space="preserve">2. Image Standardization: </w:t>
      </w:r>
      <w:r>
        <w:rPr>
          <w:rFonts w:ascii="Calibri" w:hAnsi="Calibri"/>
          <w:color w:val="2D3748"/>
          <w:sz w:val="19"/>
        </w:rPr>
        <w:t>Standardized Preprocessing: All images are resized to 224x224 pixels, converted to 3-channel RGB, and normalized using ImageNet channel statistics (mean = [0.485, 0.456, 0.406], std = [0.229, 0.224, 0.225]).</w:t>
      </w:r>
    </w:p>
    <w:p>
      <w:pPr>
        <w:pStyle w:val="ListBullet"/>
        <w:spacing w:before="0" w:after="40" w:line="264" w:lineRule="auto"/>
      </w:pPr>
      <w:r>
        <w:rPr>
          <w:rFonts w:ascii="Calibri" w:hAnsi="Calibri"/>
          <w:b/>
          <w:color w:val="2D3748"/>
          <w:sz w:val="19"/>
        </w:rPr>
        <w:t xml:space="preserve">3. Disjoint Evaluation: </w:t>
      </w:r>
      <w:r>
        <w:rPr>
          <w:rFonts w:ascii="Calibri" w:hAnsi="Calibri"/>
          <w:color w:val="2D3748"/>
          <w:sz w:val="19"/>
        </w:rPr>
        <w:t>Support/Query Disjointness: In all few-shot adaptation evaluations, query evaluation images are strictly isolated from the enrolled support sets.</w:t>
      </w:r>
    </w:p>
    <w:p>
      <w:pPr>
        <w:keepNext/>
        <w:spacing w:before="200" w:after="60"/>
      </w:pPr>
      <w:r>
        <w:rPr>
          <w:rFonts w:ascii="Calibri" w:hAnsi="Calibri"/>
          <w:b/>
          <w:color w:val="2B6CB0"/>
          <w:sz w:val="22"/>
        </w:rPr>
        <w:t>3.3 Descriptive Analysis</w:t>
      </w:r>
    </w:p>
    <w:p>
      <w:pPr>
        <w:spacing w:before="0" w:after="80" w:line="276" w:lineRule="auto"/>
      </w:pPr>
      <w:r>
        <w:rPr>
          <w:rFonts w:ascii="Calibri" w:hAnsi="Calibri"/>
          <w:color w:val="2D3748"/>
          <w:sz w:val="19"/>
        </w:rPr>
        <w:t>Table 4 outlines the statistical characteristics of the registered dataset partitions.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950"/>
        <w:gridCol w:w="1950"/>
        <w:gridCol w:w="1950"/>
        <w:gridCol w:w="1950"/>
        <w:gridCol w:w="1950"/>
      </w:tblGrid>
      <w:tr>
        <w:tc>
          <w:tcPr>
            <w:tcW w:type="dxa" w:w="2592"/>
            <w:shd w:fill="EBF8FF"/>
            <w:tcMar>
              <w:top w:w="60" w:type="dxa"/>
              <w:bottom w:w="60" w:type="dxa"/>
              <w:left w:w="70" w:type="dxa"/>
              <w:right w:w="70" w:type="dxa"/>
            </w:tcMar>
          </w:tcPr>
          <w:p>
            <w:r>
              <w:rPr>
                <w:rFonts w:ascii="Calibri" w:hAnsi="Calibri"/>
                <w:b/>
                <w:color w:val="1A365D"/>
                <w:sz w:val="17"/>
              </w:rPr>
              <w:t>Category Partition</w:t>
            </w:r>
          </w:p>
        </w:tc>
        <w:tc>
          <w:tcPr>
            <w:tcW w:type="dxa" w:w="1728"/>
            <w:shd w:fill="EBF8FF"/>
            <w:tcMar>
              <w:top w:w="60" w:type="dxa"/>
              <w:bottom w:w="60" w:type="dxa"/>
              <w:left w:w="70" w:type="dxa"/>
              <w:right w:w="70" w:type="dxa"/>
            </w:tcMar>
          </w:tcPr>
          <w:p>
            <w:r>
              <w:rPr>
                <w:rFonts w:ascii="Calibri" w:hAnsi="Calibri"/>
                <w:b/>
                <w:color w:val="1A365D"/>
                <w:sz w:val="17"/>
              </w:rPr>
              <w:t>Class Count</w:t>
            </w:r>
          </w:p>
        </w:tc>
        <w:tc>
          <w:tcPr>
            <w:tcW w:type="dxa" w:w="1728"/>
            <w:shd w:fill="EBF8FF"/>
            <w:tcMar>
              <w:top w:w="60" w:type="dxa"/>
              <w:bottom w:w="60" w:type="dxa"/>
              <w:left w:w="70" w:type="dxa"/>
              <w:right w:w="70" w:type="dxa"/>
            </w:tcMar>
          </w:tcPr>
          <w:p>
            <w:r>
              <w:rPr>
                <w:rFonts w:ascii="Calibri" w:hAnsi="Calibri"/>
                <w:b/>
                <w:color w:val="1A365D"/>
                <w:sz w:val="17"/>
              </w:rPr>
              <w:t>Images Used</w:t>
            </w:r>
          </w:p>
        </w:tc>
        <w:tc>
          <w:tcPr>
            <w:tcW w:type="dxa" w:w="1728"/>
            <w:shd w:fill="EBF8FF"/>
            <w:tcMar>
              <w:top w:w="60" w:type="dxa"/>
              <w:bottom w:w="60" w:type="dxa"/>
              <w:left w:w="70" w:type="dxa"/>
              <w:right w:w="70" w:type="dxa"/>
            </w:tcMar>
          </w:tcPr>
          <w:p>
            <w:r>
              <w:rPr>
                <w:rFonts w:ascii="Calibri" w:hAnsi="Calibri"/>
                <w:b/>
                <w:color w:val="1A365D"/>
                <w:sz w:val="17"/>
              </w:rPr>
              <w:t>Support Mode</w:t>
            </w:r>
          </w:p>
        </w:tc>
        <w:tc>
          <w:tcPr>
            <w:tcW w:type="dxa" w:w="1973"/>
            <w:shd w:fill="EBF8FF"/>
            <w:tcMar>
              <w:top w:w="60" w:type="dxa"/>
              <w:bottom w:w="60" w:type="dxa"/>
              <w:left w:w="70" w:type="dxa"/>
              <w:right w:w="70" w:type="dxa"/>
            </w:tcMar>
          </w:tcPr>
          <w:p>
            <w:r>
              <w:rPr>
                <w:rFonts w:ascii="Calibri" w:hAnsi="Calibri"/>
                <w:b/>
                <w:color w:val="1A365D"/>
                <w:sz w:val="17"/>
              </w:rPr>
              <w:t>Hypersphere Radius (Mean)</w:t>
            </w:r>
          </w:p>
        </w:tc>
      </w:tr>
      <w:tr>
        <w:tc>
          <w:tcPr>
            <w:tcW w:type="dxa" w:w="2592"/>
            <w:shd w:fill="F7FAFC"/>
            <w:tcMar>
              <w:top w:w="60" w:type="dxa"/>
              <w:bottom w:w="60" w:type="dxa"/>
              <w:left w:w="70" w:type="dxa"/>
              <w:right w:w="70" w:type="dxa"/>
            </w:tcMar>
          </w:tcPr>
          <w:p>
            <w:r>
              <w:rPr>
                <w:rFonts w:ascii="Calibri" w:hAnsi="Calibri"/>
                <w:b/>
                <w:color w:val="2D3748"/>
                <w:sz w:val="17"/>
              </w:rPr>
              <w:t>Base Dataset Classes</w:t>
            </w:r>
          </w:p>
        </w:tc>
        <w:tc>
          <w:tcPr>
            <w:tcW w:type="dxa" w:w="1728"/>
            <w:shd w:fill="F7FAFC"/>
            <w:tcMar>
              <w:top w:w="60" w:type="dxa"/>
              <w:bottom w:w="60" w:type="dxa"/>
              <w:left w:w="70" w:type="dxa"/>
              <w:right w:w="70" w:type="dxa"/>
            </w:tcMar>
          </w:tcPr>
          <w:p>
            <w:r>
              <w:rPr>
                <w:rFonts w:ascii="Calibri" w:hAnsi="Calibri"/>
                <w:b w:val="0"/>
                <w:color w:val="2D3748"/>
                <w:sz w:val="17"/>
              </w:rPr>
              <w:t>10 categories</w:t>
            </w:r>
          </w:p>
        </w:tc>
        <w:tc>
          <w:tcPr>
            <w:tcW w:type="dxa" w:w="1728"/>
            <w:shd w:fill="F7FAFC"/>
            <w:tcMar>
              <w:top w:w="60" w:type="dxa"/>
              <w:bottom w:w="60" w:type="dxa"/>
              <w:left w:w="70" w:type="dxa"/>
              <w:right w:w="70" w:type="dxa"/>
            </w:tcMar>
          </w:tcPr>
          <w:p>
            <w:r>
              <w:rPr>
                <w:rFonts w:ascii="Calibri" w:hAnsi="Calibri"/>
                <w:b w:val="0"/>
                <w:color w:val="2D3748"/>
                <w:sz w:val="17"/>
              </w:rPr>
              <w:t>30 images / class</w:t>
            </w:r>
          </w:p>
        </w:tc>
        <w:tc>
          <w:tcPr>
            <w:tcW w:type="dxa" w:w="1728"/>
            <w:shd w:fill="F7FAFC"/>
            <w:tcMar>
              <w:top w:w="60" w:type="dxa"/>
              <w:bottom w:w="60" w:type="dxa"/>
              <w:left w:w="70" w:type="dxa"/>
              <w:right w:w="70" w:type="dxa"/>
            </w:tcMar>
          </w:tcPr>
          <w:p>
            <w:r>
              <w:rPr>
                <w:rFonts w:ascii="Calibri" w:hAnsi="Calibri"/>
                <w:b w:val="0"/>
                <w:color w:val="2D3748"/>
                <w:sz w:val="17"/>
              </w:rPr>
              <w:t>30-shot Prototypes</w:t>
            </w:r>
          </w:p>
        </w:tc>
        <w:tc>
          <w:tcPr>
            <w:tcW w:type="dxa" w:w="1973"/>
            <w:shd w:fill="F7FAFC"/>
            <w:tcMar>
              <w:top w:w="60" w:type="dxa"/>
              <w:bottom w:w="60" w:type="dxa"/>
              <w:left w:w="70" w:type="dxa"/>
              <w:right w:w="70" w:type="dxa"/>
            </w:tcMar>
          </w:tcPr>
          <w:p>
            <w:r>
              <w:rPr>
                <w:rFonts w:ascii="Calibri" w:hAnsi="Calibri"/>
                <w:b w:val="0"/>
                <w:color w:val="2D3748"/>
                <w:sz w:val="17"/>
              </w:rPr>
              <w:t>r = 0.584 (Cosine distance)</w:t>
            </w:r>
          </w:p>
        </w:tc>
      </w:tr>
      <w:tr>
        <w:tc>
          <w:tcPr>
            <w:tcW w:type="dxa" w:w="2592"/>
            <w:shd w:fill="FFFFFF"/>
            <w:tcMar>
              <w:top w:w="60" w:type="dxa"/>
              <w:bottom w:w="60" w:type="dxa"/>
              <w:left w:w="70" w:type="dxa"/>
              <w:right w:w="70" w:type="dxa"/>
            </w:tcMar>
          </w:tcPr>
          <w:p>
            <w:r>
              <w:rPr>
                <w:rFonts w:ascii="Calibri" w:hAnsi="Calibri"/>
                <w:b/>
                <w:color w:val="2D3748"/>
                <w:sz w:val="17"/>
              </w:rPr>
              <w:t>Dynamically Enrolled Classes</w:t>
            </w:r>
          </w:p>
        </w:tc>
        <w:tc>
          <w:tcPr>
            <w:tcW w:type="dxa" w:w="1728"/>
            <w:shd w:fill="FFFFFF"/>
            <w:tcMar>
              <w:top w:w="60" w:type="dxa"/>
              <w:bottom w:w="60" w:type="dxa"/>
              <w:left w:w="70" w:type="dxa"/>
              <w:right w:w="70" w:type="dxa"/>
            </w:tcMar>
          </w:tcPr>
          <w:p>
            <w:r>
              <w:rPr>
                <w:rFonts w:ascii="Calibri" w:hAnsi="Calibri"/>
                <w:b w:val="0"/>
                <w:color w:val="2D3748"/>
                <w:sz w:val="17"/>
              </w:rPr>
              <w:t>4 categories</w:t>
            </w:r>
          </w:p>
        </w:tc>
        <w:tc>
          <w:tcPr>
            <w:tcW w:type="dxa" w:w="1728"/>
            <w:shd w:fill="FFFFFF"/>
            <w:tcMar>
              <w:top w:w="60" w:type="dxa"/>
              <w:bottom w:w="60" w:type="dxa"/>
              <w:left w:w="70" w:type="dxa"/>
              <w:right w:w="70" w:type="dxa"/>
            </w:tcMar>
          </w:tcPr>
          <w:p>
            <w:r>
              <w:rPr>
                <w:rFonts w:ascii="Calibri" w:hAnsi="Calibri"/>
                <w:b w:val="0"/>
                <w:color w:val="2D3748"/>
                <w:sz w:val="17"/>
              </w:rPr>
              <w:t>5 images / class</w:t>
            </w:r>
          </w:p>
        </w:tc>
        <w:tc>
          <w:tcPr>
            <w:tcW w:type="dxa" w:w="1728"/>
            <w:shd w:fill="FFFFFF"/>
            <w:tcMar>
              <w:top w:w="60" w:type="dxa"/>
              <w:bottom w:w="60" w:type="dxa"/>
              <w:left w:w="70" w:type="dxa"/>
              <w:right w:w="70" w:type="dxa"/>
            </w:tcMar>
          </w:tcPr>
          <w:p>
            <w:r>
              <w:rPr>
                <w:rFonts w:ascii="Calibri" w:hAnsi="Calibri"/>
                <w:b w:val="0"/>
                <w:color w:val="2D3748"/>
                <w:sz w:val="17"/>
              </w:rPr>
              <w:t>5-shot Prototypes</w:t>
            </w:r>
          </w:p>
        </w:tc>
        <w:tc>
          <w:tcPr>
            <w:tcW w:type="dxa" w:w="1973"/>
            <w:shd w:fill="FFFFFF"/>
            <w:tcMar>
              <w:top w:w="60" w:type="dxa"/>
              <w:bottom w:w="60" w:type="dxa"/>
              <w:left w:w="70" w:type="dxa"/>
              <w:right w:w="70" w:type="dxa"/>
            </w:tcMar>
          </w:tcPr>
          <w:p>
            <w:r>
              <w:rPr>
                <w:rFonts w:ascii="Calibri" w:hAnsi="Calibri"/>
                <w:b w:val="0"/>
                <w:color w:val="2D3748"/>
                <w:sz w:val="17"/>
              </w:rPr>
              <w:t>r = 0.684 (Floor anchored)</w:t>
            </w:r>
          </w:p>
        </w:tc>
      </w:tr>
      <w:tr>
        <w:tc>
          <w:tcPr>
            <w:tcW w:type="dxa" w:w="2592"/>
            <w:shd w:fill="F7FAFC"/>
            <w:tcMar>
              <w:top w:w="60" w:type="dxa"/>
              <w:bottom w:w="60" w:type="dxa"/>
              <w:left w:w="70" w:type="dxa"/>
              <w:right w:w="70" w:type="dxa"/>
            </w:tcMar>
          </w:tcPr>
          <w:p>
            <w:r>
              <w:rPr>
                <w:rFonts w:ascii="Calibri" w:hAnsi="Calibri"/>
                <w:b/>
                <w:color w:val="2D3748"/>
                <w:sz w:val="17"/>
              </w:rPr>
              <w:t>Cattle Controlled Breeds</w:t>
            </w:r>
          </w:p>
        </w:tc>
        <w:tc>
          <w:tcPr>
            <w:tcW w:type="dxa" w:w="1728"/>
            <w:shd w:fill="F7FAFC"/>
            <w:tcMar>
              <w:top w:w="60" w:type="dxa"/>
              <w:bottom w:w="60" w:type="dxa"/>
              <w:left w:w="70" w:type="dxa"/>
              <w:right w:w="70" w:type="dxa"/>
            </w:tcMar>
          </w:tcPr>
          <w:p>
            <w:r>
              <w:rPr>
                <w:rFonts w:ascii="Calibri" w:hAnsi="Calibri"/>
                <w:b w:val="0"/>
                <w:color w:val="2D3748"/>
                <w:sz w:val="17"/>
              </w:rPr>
              <w:t>5 breeds</w:t>
            </w:r>
          </w:p>
        </w:tc>
        <w:tc>
          <w:tcPr>
            <w:tcW w:type="dxa" w:w="1728"/>
            <w:shd w:fill="F7FAFC"/>
            <w:tcMar>
              <w:top w:w="60" w:type="dxa"/>
              <w:bottom w:w="60" w:type="dxa"/>
              <w:left w:w="70" w:type="dxa"/>
              <w:right w:w="70" w:type="dxa"/>
            </w:tcMar>
          </w:tcPr>
          <w:p>
            <w:r>
              <w:rPr>
                <w:rFonts w:ascii="Calibri" w:hAnsi="Calibri"/>
                <w:b w:val="0"/>
                <w:color w:val="2D3748"/>
                <w:sz w:val="17"/>
              </w:rPr>
              <w:t>1,208 total images</w:t>
            </w:r>
          </w:p>
        </w:tc>
        <w:tc>
          <w:tcPr>
            <w:tcW w:type="dxa" w:w="1728"/>
            <w:shd w:fill="F7FAFC"/>
            <w:tcMar>
              <w:top w:w="60" w:type="dxa"/>
              <w:bottom w:w="60" w:type="dxa"/>
              <w:left w:w="70" w:type="dxa"/>
              <w:right w:w="70" w:type="dxa"/>
            </w:tcMar>
          </w:tcPr>
          <w:p>
            <w:r>
              <w:rPr>
                <w:rFonts w:ascii="Calibri" w:hAnsi="Calibri"/>
                <w:b w:val="0"/>
                <w:color w:val="2D3748"/>
                <w:sz w:val="17"/>
              </w:rPr>
              <w:t>Episodic Sampling</w:t>
            </w:r>
          </w:p>
        </w:tc>
        <w:tc>
          <w:tcPr>
            <w:tcW w:type="dxa" w:w="1973"/>
            <w:shd w:fill="F7FAFC"/>
            <w:tcMar>
              <w:top w:w="60" w:type="dxa"/>
              <w:bottom w:w="60" w:type="dxa"/>
              <w:left w:w="70" w:type="dxa"/>
              <w:right w:w="70" w:type="dxa"/>
            </w:tcMar>
          </w:tcPr>
          <w:p>
            <w:r>
              <w:rPr>
                <w:rFonts w:ascii="Calibri" w:hAnsi="Calibri"/>
                <w:b w:val="0"/>
                <w:color w:val="2D3748"/>
                <w:sz w:val="17"/>
              </w:rPr>
              <w:t>r = 0.432 (Fine-grained)</w:t>
            </w:r>
          </w:p>
        </w:tc>
      </w:tr>
      <w:tr>
        <w:tc>
          <w:tcPr>
            <w:tcW w:type="dxa" w:w="2592"/>
            <w:shd w:fill="FFFFFF"/>
            <w:tcMar>
              <w:top w:w="60" w:type="dxa"/>
              <w:bottom w:w="60" w:type="dxa"/>
              <w:left w:w="70" w:type="dxa"/>
              <w:right w:w="70" w:type="dxa"/>
            </w:tcMar>
          </w:tcPr>
          <w:p>
            <w:r>
              <w:rPr>
                <w:rFonts w:ascii="Calibri" w:hAnsi="Calibri"/>
                <w:b/>
                <w:color w:val="2D3748"/>
                <w:sz w:val="17"/>
              </w:rPr>
              <w:t>Open-Set Outlier Queries</w:t>
            </w:r>
          </w:p>
        </w:tc>
        <w:tc>
          <w:tcPr>
            <w:tcW w:type="dxa" w:w="1728"/>
            <w:shd w:fill="FFFFFF"/>
            <w:tcMar>
              <w:top w:w="60" w:type="dxa"/>
              <w:bottom w:w="60" w:type="dxa"/>
              <w:left w:w="70" w:type="dxa"/>
              <w:right w:w="70" w:type="dxa"/>
            </w:tcMar>
          </w:tcPr>
          <w:p>
            <w:r>
              <w:rPr>
                <w:rFonts w:ascii="Calibri" w:hAnsi="Calibri"/>
                <w:b w:val="0"/>
                <w:color w:val="2D3748"/>
                <w:sz w:val="17"/>
              </w:rPr>
              <w:t>5 categories</w:t>
            </w:r>
          </w:p>
        </w:tc>
        <w:tc>
          <w:tcPr>
            <w:tcW w:type="dxa" w:w="1728"/>
            <w:shd w:fill="FFFFFF"/>
            <w:tcMar>
              <w:top w:w="60" w:type="dxa"/>
              <w:bottom w:w="60" w:type="dxa"/>
              <w:left w:w="70" w:type="dxa"/>
              <w:right w:w="70" w:type="dxa"/>
            </w:tcMar>
          </w:tcPr>
          <w:p>
            <w:r>
              <w:rPr>
                <w:rFonts w:ascii="Calibri" w:hAnsi="Calibri"/>
                <w:b w:val="0"/>
                <w:color w:val="2D3748"/>
                <w:sz w:val="17"/>
              </w:rPr>
              <w:t>Unseen external</w:t>
            </w:r>
          </w:p>
        </w:tc>
        <w:tc>
          <w:tcPr>
            <w:tcW w:type="dxa" w:w="1728"/>
            <w:shd w:fill="FFFFFF"/>
            <w:tcMar>
              <w:top w:w="60" w:type="dxa"/>
              <w:bottom w:w="60" w:type="dxa"/>
              <w:left w:w="70" w:type="dxa"/>
              <w:right w:w="70" w:type="dxa"/>
            </w:tcMar>
          </w:tcPr>
          <w:p>
            <w:r>
              <w:rPr>
                <w:rFonts w:ascii="Calibri" w:hAnsi="Calibri"/>
                <w:b w:val="0"/>
                <w:color w:val="2D3748"/>
                <w:sz w:val="17"/>
              </w:rPr>
              <w:t>Zero support (OOD)</w:t>
            </w:r>
          </w:p>
        </w:tc>
        <w:tc>
          <w:tcPr>
            <w:tcW w:type="dxa" w:w="1973"/>
            <w:shd w:fill="FFFFFF"/>
            <w:tcMar>
              <w:top w:w="60" w:type="dxa"/>
              <w:bottom w:w="60" w:type="dxa"/>
              <w:left w:w="70" w:type="dxa"/>
              <w:right w:w="70" w:type="dxa"/>
            </w:tcMar>
          </w:tcPr>
          <w:p>
            <w:r>
              <w:rPr>
                <w:rFonts w:ascii="Calibri" w:hAnsi="Calibri"/>
                <w:b w:val="0"/>
                <w:color w:val="2D3748"/>
                <w:sz w:val="17"/>
              </w:rPr>
              <w:t>Distance d &gt; 0.850 (Outlier)</w:t>
            </w:r>
          </w:p>
        </w:tc>
      </w:tr>
      <w:tr>
        <w:tc>
          <w:tcPr>
            <w:tcW w:type="dxa" w:w="2592"/>
            <w:shd w:fill="F7FAFC"/>
            <w:tcMar>
              <w:top w:w="60" w:type="dxa"/>
              <w:bottom w:w="60" w:type="dxa"/>
              <w:left w:w="70" w:type="dxa"/>
              <w:right w:w="70" w:type="dxa"/>
            </w:tcMar>
          </w:tcPr>
          <w:p>
            <w:r>
              <w:rPr>
                <w:rFonts w:ascii="Calibri" w:hAnsi="Calibri"/>
                <w:b/>
                <w:color w:val="2D3748"/>
                <w:sz w:val="17"/>
              </w:rPr>
              <w:t>Total System Capacity</w:t>
            </w:r>
          </w:p>
        </w:tc>
        <w:tc>
          <w:tcPr>
            <w:tcW w:type="dxa" w:w="1728"/>
            <w:shd w:fill="F7FAFC"/>
            <w:tcMar>
              <w:top w:w="60" w:type="dxa"/>
              <w:bottom w:w="60" w:type="dxa"/>
              <w:left w:w="70" w:type="dxa"/>
              <w:right w:w="70" w:type="dxa"/>
            </w:tcMar>
          </w:tcPr>
          <w:p>
            <w:r>
              <w:rPr>
                <w:rFonts w:ascii="Calibri" w:hAnsi="Calibri"/>
                <w:b w:val="0"/>
                <w:color w:val="2D3748"/>
                <w:sz w:val="17"/>
              </w:rPr>
              <w:t>14 registered</w:t>
            </w:r>
          </w:p>
        </w:tc>
        <w:tc>
          <w:tcPr>
            <w:tcW w:type="dxa" w:w="1728"/>
            <w:shd w:fill="F7FAFC"/>
            <w:tcMar>
              <w:top w:w="60" w:type="dxa"/>
              <w:bottom w:w="60" w:type="dxa"/>
              <w:left w:w="70" w:type="dxa"/>
              <w:right w:w="70" w:type="dxa"/>
            </w:tcMar>
          </w:tcPr>
          <w:p>
            <w:r>
              <w:rPr>
                <w:rFonts w:ascii="Calibri" w:hAnsi="Calibri"/>
                <w:b w:val="0"/>
                <w:color w:val="2D3748"/>
                <w:sz w:val="17"/>
              </w:rPr>
              <w:t>320 support embs</w:t>
            </w:r>
          </w:p>
        </w:tc>
        <w:tc>
          <w:tcPr>
            <w:tcW w:type="dxa" w:w="1728"/>
            <w:shd w:fill="F7FAFC"/>
            <w:tcMar>
              <w:top w:w="60" w:type="dxa"/>
              <w:bottom w:w="60" w:type="dxa"/>
              <w:left w:w="70" w:type="dxa"/>
              <w:right w:w="70" w:type="dxa"/>
            </w:tcMar>
          </w:tcPr>
          <w:p>
            <w:r>
              <w:rPr>
                <w:rFonts w:ascii="Calibri" w:hAnsi="Calibri"/>
                <w:b w:val="0"/>
                <w:color w:val="2D3748"/>
                <w:sz w:val="17"/>
              </w:rPr>
              <w:t>Persistent Registry</w:t>
            </w:r>
          </w:p>
        </w:tc>
        <w:tc>
          <w:tcPr>
            <w:tcW w:type="dxa" w:w="1973"/>
            <w:shd w:fill="F7FAFC"/>
            <w:tcMar>
              <w:top w:w="60" w:type="dxa"/>
              <w:bottom w:w="60" w:type="dxa"/>
              <w:left w:w="70" w:type="dxa"/>
              <w:right w:w="70" w:type="dxa"/>
            </w:tcMar>
          </w:tcPr>
          <w:p>
            <w:r>
              <w:rPr>
                <w:rFonts w:ascii="Calibri" w:hAnsi="Calibri"/>
                <w:b w:val="0"/>
                <w:color w:val="2D3748"/>
                <w:sz w:val="17"/>
              </w:rPr>
              <w:t>2048-dim manifold space</w:t>
            </w:r>
          </w:p>
        </w:tc>
      </w:tr>
    </w:tbl>
    <w:p>
      <w:pPr>
        <w:spacing w:after="160"/>
      </w:pPr>
      <w:r>
        <w:rPr>
          <w:rFonts w:ascii="Calibri" w:hAnsi="Calibri"/>
          <w:i/>
          <w:color w:val="718096"/>
          <w:sz w:val="17"/>
        </w:rPr>
        <w:t>Table 4: Descriptive Dataset and Registry Parameter Breakdown.</w:t>
      </w:r>
    </w:p>
    <w:p>
      <w:pPr>
        <w:keepNext/>
        <w:spacing w:before="200" w:after="60"/>
      </w:pPr>
      <w:r>
        <w:rPr>
          <w:rFonts w:ascii="Calibri" w:hAnsi="Calibri"/>
          <w:b/>
          <w:color w:val="2B6CB0"/>
          <w:sz w:val="22"/>
        </w:rPr>
        <w:t>3.4 Performance and Comparative Evaluation</w:t>
      </w:r>
    </w:p>
    <w:p>
      <w:pPr>
        <w:spacing w:before="0" w:after="80" w:line="276" w:lineRule="auto"/>
      </w:pPr>
      <w:r>
        <w:rPr>
          <w:rFonts w:ascii="Calibri" w:hAnsi="Calibri"/>
          <w:b/>
          <w:color w:val="2D3748"/>
          <w:sz w:val="19"/>
        </w:rPr>
        <w:t xml:space="preserve">Core Mathematical Formulations: </w:t>
      </w:r>
      <w:r>
        <w:rPr>
          <w:rFonts w:ascii="Calibri" w:hAnsi="Calibri"/>
          <w:color w:val="2D3748"/>
          <w:sz w:val="19"/>
        </w:rPr>
        <w:t>Mathematical Formulations of Implemented Engine Components:</w:t>
      </w:r>
    </w:p>
    <w:p>
      <w:pPr>
        <w:pStyle w:val="ListBullet"/>
        <w:spacing w:before="0" w:after="40" w:line="264" w:lineRule="auto"/>
      </w:pPr>
      <w:r>
        <w:rPr>
          <w:rFonts w:ascii="Calibri" w:hAnsi="Calibri"/>
          <w:b/>
          <w:color w:val="2D3748"/>
          <w:sz w:val="19"/>
        </w:rPr>
        <w:t xml:space="preserve">1. ProtoNet Centroid: </w:t>
      </w:r>
      <w:r>
        <w:rPr>
          <w:rFonts w:ascii="Calibri" w:hAnsi="Calibri"/>
          <w:color w:val="2D3748"/>
          <w:sz w:val="19"/>
        </w:rPr>
        <w:t>Prototypical Centroid: c_k = (1 / K) * sum_{i=1}^K f(x_i), with L2 normalization: c_k = c_k / ||c_k||_2</w:t>
      </w:r>
    </w:p>
    <w:p>
      <w:pPr>
        <w:pStyle w:val="ListBullet"/>
        <w:spacing w:before="0" w:after="40" w:line="264" w:lineRule="auto"/>
      </w:pPr>
      <w:r>
        <w:rPr>
          <w:rFonts w:ascii="Calibri" w:hAnsi="Calibri"/>
          <w:b/>
          <w:color w:val="2D3748"/>
          <w:sz w:val="19"/>
        </w:rPr>
        <w:t xml:space="preserve">2. Metric Distance: </w:t>
      </w:r>
      <w:r>
        <w:rPr>
          <w:rFonts w:ascii="Calibri" w:hAnsi="Calibri"/>
          <w:color w:val="2D3748"/>
          <w:sz w:val="19"/>
        </w:rPr>
        <w:t>Hyperspherical Cosine Distance: d_cos(q, c_k) = 1.0 - (q^T * c_k) / (||q||_2 * ||c_k||_2)</w:t>
      </w:r>
    </w:p>
    <w:p>
      <w:pPr>
        <w:pStyle w:val="ListBullet"/>
        <w:spacing w:before="0" w:after="40" w:line="264" w:lineRule="auto"/>
      </w:pPr>
      <w:r>
        <w:rPr>
          <w:rFonts w:ascii="Calibri" w:hAnsi="Calibri"/>
          <w:b/>
          <w:color w:val="2D3748"/>
          <w:sz w:val="19"/>
        </w:rPr>
        <w:t xml:space="preserve">3. Confidence Softmax: </w:t>
      </w:r>
      <w:r>
        <w:rPr>
          <w:rFonts w:ascii="Calibri" w:hAnsi="Calibri"/>
          <w:color w:val="2D3748"/>
          <w:sz w:val="19"/>
        </w:rPr>
        <w:t>Temperature-Scaled Softmax: P(y = k | q) = exp(-tau * d_k) / sum_{j=1}^N exp(-tau * d_j), calibrated at tau = 16.0</w:t>
      </w:r>
    </w:p>
    <w:p>
      <w:pPr>
        <w:pStyle w:val="ListBullet"/>
        <w:spacing w:before="0" w:after="40" w:line="264" w:lineRule="auto"/>
      </w:pPr>
      <w:r>
        <w:rPr>
          <w:rFonts w:ascii="Calibri" w:hAnsi="Calibri"/>
          <w:b/>
          <w:color w:val="2D3748"/>
          <w:sz w:val="19"/>
        </w:rPr>
        <w:t xml:space="preserve">4. Exemplar Attention: </w:t>
      </w:r>
      <w:r>
        <w:rPr>
          <w:rFonts w:ascii="Calibri" w:hAnsi="Calibri"/>
          <w:color w:val="2D3748"/>
          <w:sz w:val="19"/>
        </w:rPr>
        <w:t>Matching Networks Attention: P_match(y = k | q) = (1 / K_k) * sum_{i in S_k} softmax(tau * cos(q, s_i))</w:t>
      </w:r>
    </w:p>
    <w:p>
      <w:pPr>
        <w:pStyle w:val="ListBullet"/>
        <w:spacing w:before="0" w:after="40" w:line="264" w:lineRule="auto"/>
      </w:pPr>
      <w:r>
        <w:rPr>
          <w:rFonts w:ascii="Calibri" w:hAnsi="Calibri"/>
          <w:b/>
          <w:color w:val="2D3748"/>
          <w:sz w:val="19"/>
        </w:rPr>
        <w:t xml:space="preserve">5. Relation Network: </w:t>
      </w:r>
      <w:r>
        <w:rPr>
          <w:rFonts w:ascii="Calibri" w:hAnsi="Calibri"/>
          <w:color w:val="2D3748"/>
          <w:sz w:val="19"/>
        </w:rPr>
        <w:t>Relational Comparator Features: x_rel = [ q * p || |q - p| ] in R^4096 passed through deep MLP yielding score in [0, 1]</w:t>
      </w:r>
    </w:p>
    <w:p>
      <w:pPr>
        <w:pStyle w:val="ListBullet"/>
        <w:spacing w:before="0" w:after="40" w:line="264" w:lineRule="auto"/>
      </w:pPr>
      <w:r>
        <w:rPr>
          <w:rFonts w:ascii="Calibri" w:hAnsi="Calibri"/>
          <w:b/>
          <w:color w:val="2D3748"/>
          <w:sz w:val="19"/>
        </w:rPr>
        <w:t xml:space="preserve">6. MAML Inner Step: </w:t>
      </w:r>
      <w:r>
        <w:rPr>
          <w:rFonts w:ascii="Calibri" w:hAnsi="Calibri"/>
          <w:color w:val="2D3748"/>
          <w:sz w:val="19"/>
        </w:rPr>
        <w:t>MAML Fast Adaptation: W' = W - alpha * grad_W( L_support ) executed over 5 inner SGD steps</w:t>
      </w:r>
    </w:p>
    <w:p>
      <w:pPr>
        <w:spacing w:before="0" w:after="80" w:line="276" w:lineRule="auto"/>
      </w:pPr>
      <w:r>
        <w:rPr>
          <w:rFonts w:ascii="Calibri" w:hAnsi="Calibri"/>
          <w:color w:val="2D3748"/>
          <w:sz w:val="19"/>
        </w:rPr>
        <w:t>Table 5 presents the empirical evaluation metrics obtained across all four algorithms and the Consensus Ensemble on real visual test queries.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625"/>
        <w:gridCol w:w="1625"/>
        <w:gridCol w:w="1625"/>
        <w:gridCol w:w="1625"/>
        <w:gridCol w:w="1625"/>
        <w:gridCol w:w="1625"/>
      </w:tblGrid>
      <w:tr>
        <w:tc>
          <w:tcPr>
            <w:tcW w:type="dxa" w:w="1728"/>
            <w:shd w:fill="EBF8FF"/>
            <w:tcMar>
              <w:top w:w="60" w:type="dxa"/>
              <w:bottom w:w="60" w:type="dxa"/>
              <w:left w:w="60" w:type="dxa"/>
              <w:right w:w="60" w:type="dxa"/>
            </w:tcMar>
          </w:tcPr>
          <w:p>
            <w:r>
              <w:rPr>
                <w:rFonts w:ascii="Calibri" w:hAnsi="Calibri"/>
                <w:b/>
                <w:color w:val="1A365D"/>
                <w:sz w:val="17"/>
              </w:rPr>
              <w:t>Algorithm</w:t>
            </w:r>
          </w:p>
        </w:tc>
        <w:tc>
          <w:tcPr>
            <w:tcW w:type="dxa" w:w="1584"/>
            <w:shd w:fill="EBF8FF"/>
            <w:tcMar>
              <w:top w:w="60" w:type="dxa"/>
              <w:bottom w:w="60" w:type="dxa"/>
              <w:left w:w="60" w:type="dxa"/>
              <w:right w:w="60" w:type="dxa"/>
            </w:tcMar>
          </w:tcPr>
          <w:p>
            <w:r>
              <w:rPr>
                <w:rFonts w:ascii="Calibri" w:hAnsi="Calibri"/>
                <w:b/>
                <w:color w:val="1A365D"/>
                <w:sz w:val="17"/>
              </w:rPr>
              <w:t>Dog (Base 30-shot)</w:t>
            </w:r>
          </w:p>
        </w:tc>
        <w:tc>
          <w:tcPr>
            <w:tcW w:type="dxa" w:w="1584"/>
            <w:shd w:fill="EBF8FF"/>
            <w:tcMar>
              <w:top w:w="60" w:type="dxa"/>
              <w:bottom w:w="60" w:type="dxa"/>
              <w:left w:w="60" w:type="dxa"/>
              <w:right w:w="60" w:type="dxa"/>
            </w:tcMar>
          </w:tcPr>
          <w:p>
            <w:r>
              <w:rPr>
                <w:rFonts w:ascii="Calibri" w:hAnsi="Calibri"/>
                <w:b/>
                <w:color w:val="1A365D"/>
                <w:sz w:val="17"/>
              </w:rPr>
              <w:t>Hen (Base 30-shot)</w:t>
            </w:r>
          </w:p>
        </w:tc>
        <w:tc>
          <w:tcPr>
            <w:tcW w:type="dxa" w:w="1584"/>
            <w:shd w:fill="EBF8FF"/>
            <w:tcMar>
              <w:top w:w="60" w:type="dxa"/>
              <w:bottom w:w="60" w:type="dxa"/>
              <w:left w:w="60" w:type="dxa"/>
              <w:right w:w="60" w:type="dxa"/>
            </w:tcMar>
          </w:tcPr>
          <w:p>
            <w:r>
              <w:rPr>
                <w:rFonts w:ascii="Calibri" w:hAnsi="Calibri"/>
                <w:b/>
                <w:color w:val="1A365D"/>
                <w:sz w:val="17"/>
              </w:rPr>
              <w:t>Rabbit (Novel 5-shot)</w:t>
            </w:r>
          </w:p>
        </w:tc>
        <w:tc>
          <w:tcPr>
            <w:tcW w:type="dxa" w:w="1584"/>
            <w:shd w:fill="EBF8FF"/>
            <w:tcMar>
              <w:top w:w="60" w:type="dxa"/>
              <w:bottom w:w="60" w:type="dxa"/>
              <w:left w:w="60" w:type="dxa"/>
              <w:right w:w="60" w:type="dxa"/>
            </w:tcMar>
          </w:tcPr>
          <w:p>
            <w:r>
              <w:rPr>
                <w:rFonts w:ascii="Calibri" w:hAnsi="Calibri"/>
                <w:b/>
                <w:color w:val="1A365D"/>
                <w:sz w:val="17"/>
              </w:rPr>
              <w:t>Tiger (Open-Set OOD)</w:t>
            </w:r>
          </w:p>
        </w:tc>
        <w:tc>
          <w:tcPr>
            <w:tcW w:type="dxa" w:w="1685"/>
            <w:shd w:fill="EBF8FF"/>
            <w:tcMar>
              <w:top w:w="60" w:type="dxa"/>
              <w:bottom w:w="60" w:type="dxa"/>
              <w:left w:w="60" w:type="dxa"/>
              <w:right w:w="60" w:type="dxa"/>
            </w:tcMar>
          </w:tcPr>
          <w:p>
            <w:r>
              <w:rPr>
                <w:rFonts w:ascii="Calibri" w:hAnsi="Calibri"/>
                <w:b/>
                <w:color w:val="1A365D"/>
                <w:sz w:val="17"/>
              </w:rPr>
              <w:t>Inference Latency</w:t>
            </w:r>
          </w:p>
        </w:tc>
      </w:tr>
      <w:tr>
        <w:tc>
          <w:tcPr>
            <w:tcW w:type="dxa" w:w="1728"/>
            <w:shd w:fill="F7FAFC"/>
            <w:tcMar>
              <w:top w:w="60" w:type="dxa"/>
              <w:bottom w:w="60" w:type="dxa"/>
              <w:left w:w="60" w:type="dxa"/>
              <w:right w:w="60" w:type="dxa"/>
            </w:tcMar>
          </w:tcPr>
          <w:p>
            <w:r>
              <w:rPr>
                <w:rFonts w:ascii="Calibri" w:hAnsi="Calibri"/>
                <w:b/>
                <w:color w:val="2D3748"/>
                <w:sz w:val="17"/>
              </w:rPr>
              <w:t>ProtoNet</w:t>
            </w:r>
          </w:p>
        </w:tc>
        <w:tc>
          <w:tcPr>
            <w:tcW w:type="dxa" w:w="1584"/>
            <w:shd w:fill="F7FAFC"/>
            <w:tcMar>
              <w:top w:w="60" w:type="dxa"/>
              <w:bottom w:w="60" w:type="dxa"/>
              <w:left w:w="60" w:type="dxa"/>
              <w:right w:w="60" w:type="dxa"/>
            </w:tcMar>
          </w:tcPr>
          <w:p>
            <w:r>
              <w:rPr>
                <w:rFonts w:ascii="Calibri" w:hAnsi="Calibri"/>
                <w:b w:val="0"/>
                <w:color w:val="2D3748"/>
                <w:sz w:val="17"/>
              </w:rPr>
              <w:t>Dog (78.0%) [MATCH]</w:t>
            </w:r>
          </w:p>
        </w:tc>
        <w:tc>
          <w:tcPr>
            <w:tcW w:type="dxa" w:w="1584"/>
            <w:shd w:fill="F7FAFC"/>
            <w:tcMar>
              <w:top w:w="60" w:type="dxa"/>
              <w:bottom w:w="60" w:type="dxa"/>
              <w:left w:w="60" w:type="dxa"/>
              <w:right w:w="60" w:type="dxa"/>
            </w:tcMar>
          </w:tcPr>
          <w:p>
            <w:r>
              <w:rPr>
                <w:rFonts w:ascii="Calibri" w:hAnsi="Calibri"/>
                <w:b w:val="0"/>
                <w:color w:val="2D3748"/>
                <w:sz w:val="17"/>
              </w:rPr>
              <w:t>Hen (100.0%) [MATCH]</w:t>
            </w:r>
          </w:p>
        </w:tc>
        <w:tc>
          <w:tcPr>
            <w:tcW w:type="dxa" w:w="1584"/>
            <w:shd w:fill="F7FAFC"/>
            <w:tcMar>
              <w:top w:w="60" w:type="dxa"/>
              <w:bottom w:w="60" w:type="dxa"/>
              <w:left w:w="60" w:type="dxa"/>
              <w:right w:w="60" w:type="dxa"/>
            </w:tcMar>
          </w:tcPr>
          <w:p>
            <w:r>
              <w:rPr>
                <w:rFonts w:ascii="Calibri" w:hAnsi="Calibri"/>
                <w:b w:val="0"/>
                <w:color w:val="2D3748"/>
                <w:sz w:val="17"/>
              </w:rPr>
              <w:t>Rabbit (91.7%) [MATCH]</w:t>
            </w:r>
          </w:p>
        </w:tc>
        <w:tc>
          <w:tcPr>
            <w:tcW w:type="dxa" w:w="1584"/>
            <w:shd w:fill="F7FAFC"/>
            <w:tcMar>
              <w:top w:w="60" w:type="dxa"/>
              <w:bottom w:w="60" w:type="dxa"/>
              <w:left w:w="60" w:type="dxa"/>
              <w:right w:w="60" w:type="dxa"/>
            </w:tcMar>
          </w:tcPr>
          <w:p>
            <w:r>
              <w:rPr>
                <w:rFonts w:ascii="Calibri" w:hAnsi="Calibri"/>
                <w:b w:val="0"/>
                <w:color w:val="2D3748"/>
                <w:sz w:val="17"/>
              </w:rPr>
              <w:t>Unknown (0.0%) [REJECTED]</w:t>
            </w:r>
          </w:p>
        </w:tc>
        <w:tc>
          <w:tcPr>
            <w:tcW w:type="dxa" w:w="1685"/>
            <w:shd w:fill="F7FAFC"/>
            <w:tcMar>
              <w:top w:w="60" w:type="dxa"/>
              <w:bottom w:w="60" w:type="dxa"/>
              <w:left w:w="60" w:type="dxa"/>
              <w:right w:w="60" w:type="dxa"/>
            </w:tcMar>
          </w:tcPr>
          <w:p>
            <w:r>
              <w:rPr>
                <w:rFonts w:ascii="Calibri" w:hAnsi="Calibri"/>
                <w:b w:val="0"/>
                <w:color w:val="2D3748"/>
                <w:sz w:val="17"/>
              </w:rPr>
              <w:t>95.1 ms (Fastest)</w:t>
            </w:r>
          </w:p>
        </w:tc>
      </w:tr>
      <w:tr>
        <w:tc>
          <w:tcPr>
            <w:tcW w:type="dxa" w:w="1728"/>
            <w:shd w:fill="FFFFFF"/>
            <w:tcMar>
              <w:top w:w="60" w:type="dxa"/>
              <w:bottom w:w="60" w:type="dxa"/>
              <w:left w:w="60" w:type="dxa"/>
              <w:right w:w="60" w:type="dxa"/>
            </w:tcMar>
          </w:tcPr>
          <w:p>
            <w:r>
              <w:rPr>
                <w:rFonts w:ascii="Calibri" w:hAnsi="Calibri"/>
                <w:b/>
                <w:color w:val="2D3748"/>
                <w:sz w:val="17"/>
              </w:rPr>
              <w:t>MatchingNet</w:t>
            </w:r>
          </w:p>
        </w:tc>
        <w:tc>
          <w:tcPr>
            <w:tcW w:type="dxa" w:w="1584"/>
            <w:shd w:fill="FFFFFF"/>
            <w:tcMar>
              <w:top w:w="60" w:type="dxa"/>
              <w:bottom w:w="60" w:type="dxa"/>
              <w:left w:w="60" w:type="dxa"/>
              <w:right w:w="60" w:type="dxa"/>
            </w:tcMar>
          </w:tcPr>
          <w:p>
            <w:r>
              <w:rPr>
                <w:rFonts w:ascii="Calibri" w:hAnsi="Calibri"/>
                <w:b w:val="0"/>
                <w:color w:val="2D3748"/>
                <w:sz w:val="17"/>
              </w:rPr>
              <w:t>Dog (94.9%) [MATCH]</w:t>
            </w:r>
          </w:p>
        </w:tc>
        <w:tc>
          <w:tcPr>
            <w:tcW w:type="dxa" w:w="1584"/>
            <w:shd w:fill="FFFFFF"/>
            <w:tcMar>
              <w:top w:w="60" w:type="dxa"/>
              <w:bottom w:w="60" w:type="dxa"/>
              <w:left w:w="60" w:type="dxa"/>
              <w:right w:w="60" w:type="dxa"/>
            </w:tcMar>
          </w:tcPr>
          <w:p>
            <w:r>
              <w:rPr>
                <w:rFonts w:ascii="Calibri" w:hAnsi="Calibri"/>
                <w:b w:val="0"/>
                <w:color w:val="2D3748"/>
                <w:sz w:val="17"/>
              </w:rPr>
              <w:t>Hen (100.0%) [MATCH]</w:t>
            </w:r>
          </w:p>
        </w:tc>
        <w:tc>
          <w:tcPr>
            <w:tcW w:type="dxa" w:w="1584"/>
            <w:shd w:fill="FFFFFF"/>
            <w:tcMar>
              <w:top w:w="60" w:type="dxa"/>
              <w:bottom w:w="60" w:type="dxa"/>
              <w:left w:w="60" w:type="dxa"/>
              <w:right w:w="60" w:type="dxa"/>
            </w:tcMar>
          </w:tcPr>
          <w:p>
            <w:r>
              <w:rPr>
                <w:rFonts w:ascii="Calibri" w:hAnsi="Calibri"/>
                <w:b w:val="0"/>
                <w:color w:val="2D3748"/>
                <w:sz w:val="17"/>
              </w:rPr>
              <w:t>Rabbit (71.5%) [MATCH]</w:t>
            </w:r>
          </w:p>
        </w:tc>
        <w:tc>
          <w:tcPr>
            <w:tcW w:type="dxa" w:w="1584"/>
            <w:shd w:fill="FFFFFF"/>
            <w:tcMar>
              <w:top w:w="60" w:type="dxa"/>
              <w:bottom w:w="60" w:type="dxa"/>
              <w:left w:w="60" w:type="dxa"/>
              <w:right w:w="60" w:type="dxa"/>
            </w:tcMar>
          </w:tcPr>
          <w:p>
            <w:r>
              <w:rPr>
                <w:rFonts w:ascii="Calibri" w:hAnsi="Calibri"/>
                <w:b w:val="0"/>
                <w:color w:val="2D3748"/>
                <w:sz w:val="17"/>
              </w:rPr>
              <w:t>Unknown (0.0%) [REJECTED]</w:t>
            </w:r>
          </w:p>
        </w:tc>
        <w:tc>
          <w:tcPr>
            <w:tcW w:type="dxa" w:w="1685"/>
            <w:shd w:fill="FFFFFF"/>
            <w:tcMar>
              <w:top w:w="60" w:type="dxa"/>
              <w:bottom w:w="60" w:type="dxa"/>
              <w:left w:w="60" w:type="dxa"/>
              <w:right w:w="60" w:type="dxa"/>
            </w:tcMar>
          </w:tcPr>
          <w:p>
            <w:r>
              <w:rPr>
                <w:rFonts w:ascii="Calibri" w:hAnsi="Calibri"/>
                <w:b w:val="0"/>
                <w:color w:val="2D3748"/>
                <w:sz w:val="17"/>
              </w:rPr>
              <w:t>124.5 ms</w:t>
            </w:r>
          </w:p>
        </w:tc>
      </w:tr>
      <w:tr>
        <w:tc>
          <w:tcPr>
            <w:tcW w:type="dxa" w:w="1728"/>
            <w:shd w:fill="F7FAFC"/>
            <w:tcMar>
              <w:top w:w="60" w:type="dxa"/>
              <w:bottom w:w="60" w:type="dxa"/>
              <w:left w:w="60" w:type="dxa"/>
              <w:right w:w="60" w:type="dxa"/>
            </w:tcMar>
          </w:tcPr>
          <w:p>
            <w:r>
              <w:rPr>
                <w:rFonts w:ascii="Calibri" w:hAnsi="Calibri"/>
                <w:b/>
                <w:color w:val="2D3748"/>
                <w:sz w:val="17"/>
              </w:rPr>
              <w:t>RelationNet</w:t>
            </w:r>
          </w:p>
        </w:tc>
        <w:tc>
          <w:tcPr>
            <w:tcW w:type="dxa" w:w="1584"/>
            <w:shd w:fill="F7FAFC"/>
            <w:tcMar>
              <w:top w:w="60" w:type="dxa"/>
              <w:bottom w:w="60" w:type="dxa"/>
              <w:left w:w="60" w:type="dxa"/>
              <w:right w:w="60" w:type="dxa"/>
            </w:tcMar>
          </w:tcPr>
          <w:p>
            <w:r>
              <w:rPr>
                <w:rFonts w:ascii="Calibri" w:hAnsi="Calibri"/>
                <w:b w:val="0"/>
                <w:color w:val="2D3748"/>
                <w:sz w:val="17"/>
              </w:rPr>
              <w:t>Dog (40.9%) [MATCH]</w:t>
            </w:r>
          </w:p>
        </w:tc>
        <w:tc>
          <w:tcPr>
            <w:tcW w:type="dxa" w:w="1584"/>
            <w:shd w:fill="F7FAFC"/>
            <w:tcMar>
              <w:top w:w="60" w:type="dxa"/>
              <w:bottom w:w="60" w:type="dxa"/>
              <w:left w:w="60" w:type="dxa"/>
              <w:right w:w="60" w:type="dxa"/>
            </w:tcMar>
          </w:tcPr>
          <w:p>
            <w:r>
              <w:rPr>
                <w:rFonts w:ascii="Calibri" w:hAnsi="Calibri"/>
                <w:b w:val="0"/>
                <w:color w:val="2D3748"/>
                <w:sz w:val="17"/>
              </w:rPr>
              <w:t>Hen (100.0%) [MATCH]</w:t>
            </w:r>
          </w:p>
        </w:tc>
        <w:tc>
          <w:tcPr>
            <w:tcW w:type="dxa" w:w="1584"/>
            <w:shd w:fill="F7FAFC"/>
            <w:tcMar>
              <w:top w:w="60" w:type="dxa"/>
              <w:bottom w:w="60" w:type="dxa"/>
              <w:left w:w="60" w:type="dxa"/>
              <w:right w:w="60" w:type="dxa"/>
            </w:tcMar>
          </w:tcPr>
          <w:p>
            <w:r>
              <w:rPr>
                <w:rFonts w:ascii="Calibri" w:hAnsi="Calibri"/>
                <w:b w:val="0"/>
                <w:color w:val="2D3748"/>
                <w:sz w:val="17"/>
              </w:rPr>
              <w:t>Rabbit (100.0%) [MATCH]</w:t>
            </w:r>
          </w:p>
        </w:tc>
        <w:tc>
          <w:tcPr>
            <w:tcW w:type="dxa" w:w="1584"/>
            <w:shd w:fill="F7FAFC"/>
            <w:tcMar>
              <w:top w:w="60" w:type="dxa"/>
              <w:bottom w:w="60" w:type="dxa"/>
              <w:left w:w="60" w:type="dxa"/>
              <w:right w:w="60" w:type="dxa"/>
            </w:tcMar>
          </w:tcPr>
          <w:p>
            <w:r>
              <w:rPr>
                <w:rFonts w:ascii="Calibri" w:hAnsi="Calibri"/>
                <w:b w:val="0"/>
                <w:color w:val="2D3748"/>
                <w:sz w:val="17"/>
              </w:rPr>
              <w:t>Unknown (0.0%) [REJECTED]</w:t>
            </w:r>
          </w:p>
        </w:tc>
        <w:tc>
          <w:tcPr>
            <w:tcW w:type="dxa" w:w="1685"/>
            <w:shd w:fill="F7FAFC"/>
            <w:tcMar>
              <w:top w:w="60" w:type="dxa"/>
              <w:bottom w:w="60" w:type="dxa"/>
              <w:left w:w="60" w:type="dxa"/>
              <w:right w:w="60" w:type="dxa"/>
            </w:tcMar>
          </w:tcPr>
          <w:p>
            <w:r>
              <w:rPr>
                <w:rFonts w:ascii="Calibri" w:hAnsi="Calibri"/>
                <w:b w:val="0"/>
                <w:color w:val="2D3748"/>
                <w:sz w:val="17"/>
              </w:rPr>
              <w:t>63.1 ms (MLP only)</w:t>
            </w:r>
          </w:p>
        </w:tc>
      </w:tr>
      <w:tr>
        <w:tc>
          <w:tcPr>
            <w:tcW w:type="dxa" w:w="1728"/>
            <w:shd w:fill="FFFFFF"/>
            <w:tcMar>
              <w:top w:w="60" w:type="dxa"/>
              <w:bottom w:w="60" w:type="dxa"/>
              <w:left w:w="60" w:type="dxa"/>
              <w:right w:w="60" w:type="dxa"/>
            </w:tcMar>
          </w:tcPr>
          <w:p>
            <w:r>
              <w:rPr>
                <w:rFonts w:ascii="Calibri" w:hAnsi="Calibri"/>
                <w:b/>
                <w:color w:val="2D3748"/>
                <w:sz w:val="17"/>
              </w:rPr>
              <w:t>MAML (FOMAML)</w:t>
            </w:r>
          </w:p>
        </w:tc>
        <w:tc>
          <w:tcPr>
            <w:tcW w:type="dxa" w:w="1584"/>
            <w:shd w:fill="FFFFFF"/>
            <w:tcMar>
              <w:top w:w="60" w:type="dxa"/>
              <w:bottom w:w="60" w:type="dxa"/>
              <w:left w:w="60" w:type="dxa"/>
              <w:right w:w="60" w:type="dxa"/>
            </w:tcMar>
          </w:tcPr>
          <w:p>
            <w:r>
              <w:rPr>
                <w:rFonts w:ascii="Calibri" w:hAnsi="Calibri"/>
                <w:b w:val="0"/>
                <w:color w:val="2D3748"/>
                <w:sz w:val="17"/>
              </w:rPr>
              <w:t>Dog (79.1%) [MATCH]</w:t>
            </w:r>
          </w:p>
        </w:tc>
        <w:tc>
          <w:tcPr>
            <w:tcW w:type="dxa" w:w="1584"/>
            <w:shd w:fill="FFFFFF"/>
            <w:tcMar>
              <w:top w:w="60" w:type="dxa"/>
              <w:bottom w:w="60" w:type="dxa"/>
              <w:left w:w="60" w:type="dxa"/>
              <w:right w:w="60" w:type="dxa"/>
            </w:tcMar>
          </w:tcPr>
          <w:p>
            <w:r>
              <w:rPr>
                <w:rFonts w:ascii="Calibri" w:hAnsi="Calibri"/>
                <w:b w:val="0"/>
                <w:color w:val="2D3748"/>
                <w:sz w:val="17"/>
              </w:rPr>
              <w:t>Hen (88.4%) [MATCH]</w:t>
            </w:r>
          </w:p>
        </w:tc>
        <w:tc>
          <w:tcPr>
            <w:tcW w:type="dxa" w:w="1584"/>
            <w:shd w:fill="FFFFFF"/>
            <w:tcMar>
              <w:top w:w="60" w:type="dxa"/>
              <w:bottom w:w="60" w:type="dxa"/>
              <w:left w:w="60" w:type="dxa"/>
              <w:right w:w="60" w:type="dxa"/>
            </w:tcMar>
          </w:tcPr>
          <w:p>
            <w:r>
              <w:rPr>
                <w:rFonts w:ascii="Calibri" w:hAnsi="Calibri"/>
                <w:b w:val="0"/>
                <w:color w:val="2D3748"/>
                <w:sz w:val="17"/>
              </w:rPr>
              <w:t>Rabbit (91.9%) [MATCH]</w:t>
            </w:r>
          </w:p>
        </w:tc>
        <w:tc>
          <w:tcPr>
            <w:tcW w:type="dxa" w:w="1584"/>
            <w:shd w:fill="FFFFFF"/>
            <w:tcMar>
              <w:top w:w="60" w:type="dxa"/>
              <w:bottom w:w="60" w:type="dxa"/>
              <w:left w:w="60" w:type="dxa"/>
              <w:right w:w="60" w:type="dxa"/>
            </w:tcMar>
          </w:tcPr>
          <w:p>
            <w:r>
              <w:rPr>
                <w:rFonts w:ascii="Calibri" w:hAnsi="Calibri"/>
                <w:b w:val="0"/>
                <w:color w:val="2D3748"/>
                <w:sz w:val="17"/>
              </w:rPr>
              <w:t>Unknown (0.0%) [REJECTED]</w:t>
            </w:r>
          </w:p>
        </w:tc>
        <w:tc>
          <w:tcPr>
            <w:tcW w:type="dxa" w:w="1685"/>
            <w:shd w:fill="FFFFFF"/>
            <w:tcMar>
              <w:top w:w="60" w:type="dxa"/>
              <w:bottom w:w="60" w:type="dxa"/>
              <w:left w:w="60" w:type="dxa"/>
              <w:right w:w="60" w:type="dxa"/>
            </w:tcMar>
          </w:tcPr>
          <w:p>
            <w:r>
              <w:rPr>
                <w:rFonts w:ascii="Calibri" w:hAnsi="Calibri"/>
                <w:b w:val="0"/>
                <w:color w:val="2D3748"/>
                <w:sz w:val="17"/>
              </w:rPr>
              <w:t>347.9 ms (SGD loops)</w:t>
            </w:r>
          </w:p>
        </w:tc>
      </w:tr>
      <w:tr>
        <w:tc>
          <w:tcPr>
            <w:tcW w:type="dxa" w:w="1728"/>
            <w:shd w:fill="F7FAFC"/>
            <w:tcMar>
              <w:top w:w="60" w:type="dxa"/>
              <w:bottom w:w="60" w:type="dxa"/>
              <w:left w:w="60" w:type="dxa"/>
              <w:right w:w="60" w:type="dxa"/>
            </w:tcMar>
          </w:tcPr>
          <w:p>
            <w:r>
              <w:rPr>
                <w:rFonts w:ascii="Calibri" w:hAnsi="Calibri"/>
                <w:b/>
                <w:color w:val="2B6CB0"/>
                <w:sz w:val="17"/>
              </w:rPr>
              <w:t>Consensus Ensemble</w:t>
            </w:r>
          </w:p>
        </w:tc>
        <w:tc>
          <w:tcPr>
            <w:tcW w:type="dxa" w:w="1584"/>
            <w:shd w:fill="F7FAFC"/>
            <w:tcMar>
              <w:top w:w="60" w:type="dxa"/>
              <w:bottom w:w="60" w:type="dxa"/>
              <w:left w:w="60" w:type="dxa"/>
              <w:right w:w="60" w:type="dxa"/>
            </w:tcMar>
          </w:tcPr>
          <w:p>
            <w:r>
              <w:rPr>
                <w:rFonts w:ascii="Calibri" w:hAnsi="Calibri"/>
                <w:b/>
                <w:color w:val="2B6CB0"/>
                <w:sz w:val="17"/>
              </w:rPr>
              <w:t>Dog (69.3%) [MATCH]</w:t>
            </w:r>
          </w:p>
        </w:tc>
        <w:tc>
          <w:tcPr>
            <w:tcW w:type="dxa" w:w="1584"/>
            <w:shd w:fill="F7FAFC"/>
            <w:tcMar>
              <w:top w:w="60" w:type="dxa"/>
              <w:bottom w:w="60" w:type="dxa"/>
              <w:left w:w="60" w:type="dxa"/>
              <w:right w:w="60" w:type="dxa"/>
            </w:tcMar>
          </w:tcPr>
          <w:p>
            <w:r>
              <w:rPr>
                <w:rFonts w:ascii="Calibri" w:hAnsi="Calibri"/>
                <w:b/>
                <w:color w:val="2B6CB0"/>
                <w:sz w:val="17"/>
              </w:rPr>
              <w:t>Hen (76.8%) [MATCH]</w:t>
            </w:r>
          </w:p>
        </w:tc>
        <w:tc>
          <w:tcPr>
            <w:tcW w:type="dxa" w:w="1584"/>
            <w:shd w:fill="F7FAFC"/>
            <w:tcMar>
              <w:top w:w="60" w:type="dxa"/>
              <w:bottom w:w="60" w:type="dxa"/>
              <w:left w:w="60" w:type="dxa"/>
              <w:right w:w="60" w:type="dxa"/>
            </w:tcMar>
          </w:tcPr>
          <w:p>
            <w:r>
              <w:rPr>
                <w:rFonts w:ascii="Calibri" w:hAnsi="Calibri"/>
                <w:b/>
                <w:color w:val="2B6CB0"/>
                <w:sz w:val="17"/>
              </w:rPr>
              <w:t>Rabbit (87.3%) [MATCH]</w:t>
            </w:r>
          </w:p>
        </w:tc>
        <w:tc>
          <w:tcPr>
            <w:tcW w:type="dxa" w:w="1584"/>
            <w:shd w:fill="F7FAFC"/>
            <w:tcMar>
              <w:top w:w="60" w:type="dxa"/>
              <w:bottom w:w="60" w:type="dxa"/>
              <w:left w:w="60" w:type="dxa"/>
              <w:right w:w="60" w:type="dxa"/>
            </w:tcMar>
          </w:tcPr>
          <w:p>
            <w:r>
              <w:rPr>
                <w:rFonts w:ascii="Calibri" w:hAnsi="Calibri"/>
                <w:b/>
                <w:color w:val="2B6CB0"/>
                <w:sz w:val="17"/>
              </w:rPr>
              <w:t>Unknown (0.0%) [REJECTED]</w:t>
            </w:r>
          </w:p>
        </w:tc>
        <w:tc>
          <w:tcPr>
            <w:tcW w:type="dxa" w:w="1685"/>
            <w:shd w:fill="F7FAFC"/>
            <w:tcMar>
              <w:top w:w="60" w:type="dxa"/>
              <w:bottom w:w="60" w:type="dxa"/>
              <w:left w:w="60" w:type="dxa"/>
              <w:right w:w="60" w:type="dxa"/>
            </w:tcMar>
          </w:tcPr>
          <w:p>
            <w:r>
              <w:rPr>
                <w:rFonts w:ascii="Calibri" w:hAnsi="Calibri"/>
                <w:b/>
                <w:color w:val="2B6CB0"/>
                <w:sz w:val="17"/>
              </w:rPr>
              <w:t>352.8 ms (Robust)</w:t>
            </w:r>
          </w:p>
        </w:tc>
      </w:tr>
    </w:tbl>
    <w:p>
      <w:pPr>
        <w:spacing w:after="160"/>
      </w:pPr>
      <w:r>
        <w:rPr>
          <w:rFonts w:ascii="Calibri" w:hAnsi="Calibri"/>
          <w:i/>
          <w:color w:val="718096"/>
          <w:sz w:val="17"/>
        </w:rPr>
        <w:t>Table 5: Empirical Classification Confidence and Latency Across Implemented Meta-Learning Algorithms.</w:t>
      </w:r>
    </w:p>
    <w:p>
      <w:pPr>
        <w:keepNext/>
        <w:spacing w:before="200" w:after="60"/>
      </w:pPr>
      <w:r>
        <w:rPr>
          <w:rFonts w:ascii="Calibri" w:hAnsi="Calibri"/>
          <w:b/>
          <w:color w:val="2B6CB0"/>
          <w:sz w:val="22"/>
        </w:rPr>
        <w:t>3.5 Results and Interpretation</w:t>
      </w:r>
    </w:p>
    <w:p>
      <w:pPr>
        <w:spacing w:before="0" w:after="80" w:line="276" w:lineRule="auto"/>
      </w:pPr>
      <w:r>
        <w:rPr>
          <w:rFonts w:ascii="Calibri" w:hAnsi="Calibri"/>
          <w:color w:val="2D3748"/>
          <w:sz w:val="19"/>
        </w:rPr>
        <w:t>To rigorously answer the research questions, Table 6 presents the head-to-head scientific benchmark comparing Few-Shot Meta-Learning against the Conventional Supervised Transfer Learning baseline (Linear Softmax Probe) evaluated on the exact same support data.</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437"/>
        <w:gridCol w:w="2437"/>
        <w:gridCol w:w="2437"/>
        <w:gridCol w:w="2437"/>
      </w:tblGrid>
      <w:tr>
        <w:tc>
          <w:tcPr>
            <w:tcW w:type="dxa" w:w="2592"/>
            <w:shd w:fill="EBF8FF"/>
            <w:tcMar>
              <w:top w:w="60" w:type="dxa"/>
              <w:bottom w:w="60" w:type="dxa"/>
              <w:left w:w="70" w:type="dxa"/>
              <w:right w:w="70" w:type="dxa"/>
            </w:tcMar>
          </w:tcPr>
          <w:p>
            <w:r>
              <w:rPr>
                <w:rFonts w:ascii="Calibri" w:hAnsi="Calibri"/>
                <w:b/>
                <w:color w:val="1A365D"/>
                <w:sz w:val="17"/>
              </w:rPr>
              <w:t>Evaluation Dimension</w:t>
            </w:r>
          </w:p>
        </w:tc>
        <w:tc>
          <w:tcPr>
            <w:tcW w:type="dxa" w:w="3168"/>
            <w:shd w:fill="EBF8FF"/>
            <w:tcMar>
              <w:top w:w="60" w:type="dxa"/>
              <w:bottom w:w="60" w:type="dxa"/>
              <w:left w:w="70" w:type="dxa"/>
              <w:right w:w="70" w:type="dxa"/>
            </w:tcMar>
          </w:tcPr>
          <w:p>
            <w:r>
              <w:rPr>
                <w:rFonts w:ascii="Calibri" w:hAnsi="Calibri"/>
                <w:b/>
                <w:color w:val="1A365D"/>
                <w:sz w:val="17"/>
              </w:rPr>
              <w:t>Few-Shot Meta-Learning (Our Model)</w:t>
            </w:r>
          </w:p>
        </w:tc>
        <w:tc>
          <w:tcPr>
            <w:tcW w:type="dxa" w:w="3168"/>
            <w:shd w:fill="EBF8FF"/>
            <w:tcMar>
              <w:top w:w="60" w:type="dxa"/>
              <w:bottom w:w="60" w:type="dxa"/>
              <w:left w:w="70" w:type="dxa"/>
              <w:right w:w="70" w:type="dxa"/>
            </w:tcMar>
          </w:tcPr>
          <w:p>
            <w:r>
              <w:rPr>
                <w:rFonts w:ascii="Calibri" w:hAnsi="Calibri"/>
                <w:b/>
                <w:color w:val="1A365D"/>
                <w:sz w:val="17"/>
              </w:rPr>
              <w:t>Conventional Supervised ML (Baseline)</w:t>
            </w:r>
          </w:p>
        </w:tc>
        <w:tc>
          <w:tcPr>
            <w:tcW w:type="dxa" w:w="2437"/>
          </w:tcPr>
          <w:p/>
        </w:tc>
      </w:tr>
      <w:tr>
        <w:tc>
          <w:tcPr>
            <w:tcW w:type="dxa" w:w="2592"/>
            <w:shd w:fill="F7FAFC"/>
            <w:tcMar>
              <w:top w:w="60" w:type="dxa"/>
              <w:bottom w:w="60" w:type="dxa"/>
              <w:left w:w="70" w:type="dxa"/>
              <w:right w:w="70" w:type="dxa"/>
            </w:tcMar>
          </w:tcPr>
          <w:p>
            <w:r>
              <w:rPr>
                <w:rFonts w:ascii="Calibri" w:hAnsi="Calibri"/>
                <w:b/>
                <w:color w:val="2D3748"/>
                <w:sz w:val="17"/>
              </w:rPr>
              <w:t>Model Architecture</w:t>
            </w:r>
          </w:p>
        </w:tc>
        <w:tc>
          <w:tcPr>
            <w:tcW w:type="dxa" w:w="3168"/>
            <w:shd w:fill="F7FAFC"/>
            <w:tcMar>
              <w:top w:w="60" w:type="dxa"/>
              <w:bottom w:w="60" w:type="dxa"/>
              <w:left w:w="70" w:type="dxa"/>
              <w:right w:w="70" w:type="dxa"/>
            </w:tcMar>
          </w:tcPr>
          <w:p>
            <w:r>
              <w:rPr>
                <w:rFonts w:ascii="Calibri" w:hAnsi="Calibri"/>
                <w:b w:val="0"/>
                <w:color w:val="2D3748"/>
                <w:sz w:val="17"/>
              </w:rPr>
              <w:t>ResNet-50 + Metric Ensemble Head</w:t>
            </w:r>
          </w:p>
        </w:tc>
        <w:tc>
          <w:tcPr>
            <w:tcW w:type="dxa" w:w="3168"/>
            <w:shd w:fill="F7FAFC"/>
            <w:tcMar>
              <w:top w:w="60" w:type="dxa"/>
              <w:bottom w:w="60" w:type="dxa"/>
              <w:left w:w="70" w:type="dxa"/>
              <w:right w:w="70" w:type="dxa"/>
            </w:tcMar>
          </w:tcPr>
          <w:p>
            <w:r>
              <w:rPr>
                <w:rFonts w:ascii="Calibri" w:hAnsi="Calibri"/>
                <w:b w:val="0"/>
                <w:color w:val="2D3748"/>
                <w:sz w:val="17"/>
              </w:rPr>
              <w:t>ResNet-50 + Linear Softmax Probe</w:t>
            </w:r>
          </w:p>
        </w:tc>
        <w:tc>
          <w:tcPr>
            <w:tcW w:type="dxa" w:w="2437"/>
          </w:tcPr>
          <w:p/>
        </w:tc>
      </w:tr>
      <w:tr>
        <w:tc>
          <w:tcPr>
            <w:tcW w:type="dxa" w:w="2592"/>
            <w:shd w:fill="FFFFFF"/>
            <w:tcMar>
              <w:top w:w="60" w:type="dxa"/>
              <w:bottom w:w="60" w:type="dxa"/>
              <w:left w:w="70" w:type="dxa"/>
              <w:right w:w="70" w:type="dxa"/>
            </w:tcMar>
          </w:tcPr>
          <w:p>
            <w:r>
              <w:rPr>
                <w:rFonts w:ascii="Calibri" w:hAnsi="Calibri"/>
                <w:b/>
                <w:color w:val="2D3748"/>
                <w:sz w:val="17"/>
              </w:rPr>
              <w:t>Adaptation / Retraining Time</w:t>
            </w:r>
          </w:p>
        </w:tc>
        <w:tc>
          <w:tcPr>
            <w:tcW w:type="dxa" w:w="3168"/>
            <w:shd w:fill="FFFFFF"/>
            <w:tcMar>
              <w:top w:w="60" w:type="dxa"/>
              <w:bottom w:w="60" w:type="dxa"/>
              <w:left w:w="70" w:type="dxa"/>
              <w:right w:w="70" w:type="dxa"/>
            </w:tcMar>
          </w:tcPr>
          <w:p>
            <w:r>
              <w:rPr>
                <w:rFonts w:ascii="Calibri" w:hAnsi="Calibri"/>
                <w:b w:val="0"/>
                <w:color w:val="2D3748"/>
                <w:sz w:val="17"/>
              </w:rPr>
              <w:t>334.2 ms (Instant metric projection)</w:t>
            </w:r>
          </w:p>
        </w:tc>
        <w:tc>
          <w:tcPr>
            <w:tcW w:type="dxa" w:w="3168"/>
            <w:shd w:fill="FFFFFF"/>
            <w:tcMar>
              <w:top w:w="60" w:type="dxa"/>
              <w:bottom w:w="60" w:type="dxa"/>
              <w:left w:w="70" w:type="dxa"/>
              <w:right w:w="70" w:type="dxa"/>
            </w:tcMar>
          </w:tcPr>
          <w:p>
            <w:r>
              <w:rPr>
                <w:rFonts w:ascii="Calibri" w:hAnsi="Calibri"/>
                <w:b w:val="0"/>
                <w:color w:val="2D3748"/>
                <w:sz w:val="17"/>
              </w:rPr>
              <w:t>21.0 - 78.0 ms per probe retraining</w:t>
            </w:r>
          </w:p>
        </w:tc>
        <w:tc>
          <w:tcPr>
            <w:tcW w:type="dxa" w:w="2437"/>
          </w:tcPr>
          <w:p/>
        </w:tc>
      </w:tr>
      <w:tr>
        <w:tc>
          <w:tcPr>
            <w:tcW w:type="dxa" w:w="2592"/>
            <w:shd w:fill="F7FAFC"/>
            <w:tcMar>
              <w:top w:w="60" w:type="dxa"/>
              <w:bottom w:w="60" w:type="dxa"/>
              <w:left w:w="70" w:type="dxa"/>
              <w:right w:w="70" w:type="dxa"/>
            </w:tcMar>
          </w:tcPr>
          <w:p>
            <w:r>
              <w:rPr>
                <w:rFonts w:ascii="Calibri" w:hAnsi="Calibri"/>
                <w:b/>
                <w:color w:val="2D3748"/>
                <w:sz w:val="17"/>
              </w:rPr>
              <w:t>Training Set Fit</w:t>
            </w:r>
          </w:p>
        </w:tc>
        <w:tc>
          <w:tcPr>
            <w:tcW w:type="dxa" w:w="3168"/>
            <w:shd w:fill="F7FAFC"/>
            <w:tcMar>
              <w:top w:w="60" w:type="dxa"/>
              <w:bottom w:w="60" w:type="dxa"/>
              <w:left w:w="70" w:type="dxa"/>
              <w:right w:w="70" w:type="dxa"/>
            </w:tcMar>
          </w:tcPr>
          <w:p>
            <w:r>
              <w:rPr>
                <w:rFonts w:ascii="Calibri" w:hAnsi="Calibri"/>
                <w:b w:val="0"/>
                <w:color w:val="2D3748"/>
                <w:sz w:val="17"/>
              </w:rPr>
              <w:t>Metric Compactness (Radius regularized)</w:t>
            </w:r>
          </w:p>
        </w:tc>
        <w:tc>
          <w:tcPr>
            <w:tcW w:type="dxa" w:w="3168"/>
            <w:shd w:fill="F7FAFC"/>
            <w:tcMar>
              <w:top w:w="60" w:type="dxa"/>
              <w:bottom w:w="60" w:type="dxa"/>
              <w:left w:w="70" w:type="dxa"/>
              <w:right w:w="70" w:type="dxa"/>
            </w:tcMar>
          </w:tcPr>
          <w:p>
            <w:r>
              <w:rPr>
                <w:rFonts w:ascii="Calibri" w:hAnsi="Calibri"/>
                <w:b w:val="0"/>
                <w:color w:val="2D3748"/>
                <w:sz w:val="17"/>
              </w:rPr>
              <w:t>96.2% - 96.5% Training Accuracy</w:t>
            </w:r>
          </w:p>
        </w:tc>
        <w:tc>
          <w:tcPr>
            <w:tcW w:type="dxa" w:w="2437"/>
          </w:tcPr>
          <w:p/>
        </w:tc>
      </w:tr>
      <w:tr>
        <w:tc>
          <w:tcPr>
            <w:tcW w:type="dxa" w:w="2592"/>
            <w:shd w:fill="FFFFFF"/>
            <w:tcMar>
              <w:top w:w="60" w:type="dxa"/>
              <w:bottom w:w="60" w:type="dxa"/>
              <w:left w:w="70" w:type="dxa"/>
              <w:right w:w="70" w:type="dxa"/>
            </w:tcMar>
          </w:tcPr>
          <w:p>
            <w:r>
              <w:rPr>
                <w:rFonts w:ascii="Calibri" w:hAnsi="Calibri"/>
                <w:b/>
                <w:color w:val="2D3748"/>
                <w:sz w:val="17"/>
              </w:rPr>
              <w:t>Novel Class Prediction (Rabbit 5-shot)</w:t>
            </w:r>
          </w:p>
        </w:tc>
        <w:tc>
          <w:tcPr>
            <w:tcW w:type="dxa" w:w="3168"/>
            <w:shd w:fill="FFFFFF"/>
            <w:tcMar>
              <w:top w:w="60" w:type="dxa"/>
              <w:bottom w:w="60" w:type="dxa"/>
              <w:left w:w="70" w:type="dxa"/>
              <w:right w:w="70" w:type="dxa"/>
            </w:tcMar>
          </w:tcPr>
          <w:p>
            <w:r>
              <w:rPr>
                <w:rFonts w:ascii="Calibri" w:hAnsi="Calibri"/>
                <w:b w:val="0"/>
                <w:color w:val="2D3748"/>
                <w:sz w:val="17"/>
              </w:rPr>
              <w:t>Rabbit: 79.4% - 87.3% [MATCH FOUND]</w:t>
            </w:r>
          </w:p>
        </w:tc>
        <w:tc>
          <w:tcPr>
            <w:tcW w:type="dxa" w:w="3168"/>
            <w:shd w:fill="FFFFFF"/>
            <w:tcMar>
              <w:top w:w="60" w:type="dxa"/>
              <w:bottom w:w="60" w:type="dxa"/>
              <w:left w:w="70" w:type="dxa"/>
              <w:right w:w="70" w:type="dxa"/>
            </w:tcMar>
          </w:tcPr>
          <w:p>
            <w:r>
              <w:rPr>
                <w:rFonts w:ascii="Calibri" w:hAnsi="Calibri"/>
                <w:b w:val="0"/>
                <w:color w:val="2D3748"/>
                <w:sz w:val="17"/>
              </w:rPr>
              <w:t>Squirrel: 25.6% [MISCLASSIFIED]</w:t>
            </w:r>
          </w:p>
        </w:tc>
        <w:tc>
          <w:tcPr>
            <w:tcW w:type="dxa" w:w="2437"/>
          </w:tcPr>
          <w:p/>
        </w:tc>
      </w:tr>
      <w:tr>
        <w:tc>
          <w:tcPr>
            <w:tcW w:type="dxa" w:w="2592"/>
            <w:shd w:fill="F7FAFC"/>
            <w:tcMar>
              <w:top w:w="60" w:type="dxa"/>
              <w:bottom w:w="60" w:type="dxa"/>
              <w:left w:w="70" w:type="dxa"/>
              <w:right w:w="70" w:type="dxa"/>
            </w:tcMar>
          </w:tcPr>
          <w:p>
            <w:r>
              <w:rPr>
                <w:rFonts w:ascii="Calibri" w:hAnsi="Calibri"/>
                <w:b/>
                <w:color w:val="2D3748"/>
                <w:sz w:val="17"/>
              </w:rPr>
              <w:t>Base Class Prediction (Dog 30-shot)</w:t>
            </w:r>
          </w:p>
        </w:tc>
        <w:tc>
          <w:tcPr>
            <w:tcW w:type="dxa" w:w="3168"/>
            <w:shd w:fill="F7FAFC"/>
            <w:tcMar>
              <w:top w:w="60" w:type="dxa"/>
              <w:bottom w:w="60" w:type="dxa"/>
              <w:left w:w="70" w:type="dxa"/>
              <w:right w:w="70" w:type="dxa"/>
            </w:tcMar>
          </w:tcPr>
          <w:p>
            <w:r>
              <w:rPr>
                <w:rFonts w:ascii="Calibri" w:hAnsi="Calibri"/>
                <w:b w:val="0"/>
                <w:color w:val="2D3748"/>
                <w:sz w:val="17"/>
              </w:rPr>
              <w:t>Dog: 69.3% - 96.4% [MATCH FOUND]</w:t>
            </w:r>
          </w:p>
        </w:tc>
        <w:tc>
          <w:tcPr>
            <w:tcW w:type="dxa" w:w="3168"/>
            <w:shd w:fill="F7FAFC"/>
            <w:tcMar>
              <w:top w:w="60" w:type="dxa"/>
              <w:bottom w:w="60" w:type="dxa"/>
              <w:left w:w="70" w:type="dxa"/>
              <w:right w:w="70" w:type="dxa"/>
            </w:tcMar>
          </w:tcPr>
          <w:p>
            <w:r>
              <w:rPr>
                <w:rFonts w:ascii="Calibri" w:hAnsi="Calibri"/>
                <w:b w:val="0"/>
                <w:color w:val="2D3748"/>
                <w:sz w:val="17"/>
              </w:rPr>
              <w:t>Dog: 36.9% - 54.6% [MATCH FOUND]</w:t>
            </w:r>
          </w:p>
        </w:tc>
        <w:tc>
          <w:tcPr>
            <w:tcW w:type="dxa" w:w="2437"/>
          </w:tcPr>
          <w:p/>
        </w:tc>
      </w:tr>
      <w:tr>
        <w:tc>
          <w:tcPr>
            <w:tcW w:type="dxa" w:w="2592"/>
            <w:shd w:fill="FFFFFF"/>
            <w:tcMar>
              <w:top w:w="60" w:type="dxa"/>
              <w:bottom w:w="60" w:type="dxa"/>
              <w:left w:w="70" w:type="dxa"/>
              <w:right w:w="70" w:type="dxa"/>
            </w:tcMar>
          </w:tcPr>
          <w:p>
            <w:r>
              <w:rPr>
                <w:rFonts w:ascii="Calibri" w:hAnsi="Calibri"/>
                <w:b/>
                <w:color w:val="2D3748"/>
                <w:sz w:val="17"/>
              </w:rPr>
              <w:t>Open-Set Outlier Query (Tiger)</w:t>
            </w:r>
          </w:p>
        </w:tc>
        <w:tc>
          <w:tcPr>
            <w:tcW w:type="dxa" w:w="3168"/>
            <w:shd w:fill="FFFFFF"/>
            <w:tcMar>
              <w:top w:w="60" w:type="dxa"/>
              <w:bottom w:w="60" w:type="dxa"/>
              <w:left w:w="70" w:type="dxa"/>
              <w:right w:w="70" w:type="dxa"/>
            </w:tcMar>
          </w:tcPr>
          <w:p>
            <w:r>
              <w:rPr>
                <w:rFonts w:ascii="Calibri" w:hAnsi="Calibri"/>
                <w:b w:val="0"/>
                <w:color w:val="2D3748"/>
                <w:sz w:val="17"/>
              </w:rPr>
              <w:t>Unknown: 0.0% [REJECTED]</w:t>
            </w:r>
          </w:p>
        </w:tc>
        <w:tc>
          <w:tcPr>
            <w:tcW w:type="dxa" w:w="3168"/>
            <w:shd w:fill="FFFFFF"/>
            <w:tcMar>
              <w:top w:w="60" w:type="dxa"/>
              <w:bottom w:w="60" w:type="dxa"/>
              <w:left w:w="70" w:type="dxa"/>
              <w:right w:w="70" w:type="dxa"/>
            </w:tcMar>
          </w:tcPr>
          <w:p>
            <w:r>
              <w:rPr>
                <w:rFonts w:ascii="Calibri" w:hAnsi="Calibri"/>
                <w:b w:val="0"/>
                <w:color w:val="2D3748"/>
                <w:sz w:val="17"/>
              </w:rPr>
              <w:t>Hen: 13.6% [FORCED FALSE POSITIVE]</w:t>
            </w:r>
          </w:p>
        </w:tc>
        <w:tc>
          <w:tcPr>
            <w:tcW w:type="dxa" w:w="2437"/>
          </w:tcPr>
          <w:p/>
        </w:tc>
      </w:tr>
      <w:tr>
        <w:tc>
          <w:tcPr>
            <w:tcW w:type="dxa" w:w="2592"/>
            <w:shd w:fill="F7FAFC"/>
            <w:tcMar>
              <w:top w:w="60" w:type="dxa"/>
              <w:bottom w:w="60" w:type="dxa"/>
              <w:left w:w="70" w:type="dxa"/>
              <w:right w:w="70" w:type="dxa"/>
            </w:tcMar>
          </w:tcPr>
          <w:p>
            <w:r>
              <w:rPr>
                <w:rFonts w:ascii="Calibri" w:hAnsi="Calibri"/>
                <w:b/>
                <w:color w:val="2D3748"/>
                <w:sz w:val="17"/>
              </w:rPr>
              <w:t>Open-Set Outlier Query (Hanuman / Ganesh)</w:t>
            </w:r>
          </w:p>
        </w:tc>
        <w:tc>
          <w:tcPr>
            <w:tcW w:type="dxa" w:w="3168"/>
            <w:shd w:fill="F7FAFC"/>
            <w:tcMar>
              <w:top w:w="60" w:type="dxa"/>
              <w:bottom w:w="60" w:type="dxa"/>
              <w:left w:w="70" w:type="dxa"/>
              <w:right w:w="70" w:type="dxa"/>
            </w:tcMar>
          </w:tcPr>
          <w:p>
            <w:r>
              <w:rPr>
                <w:rFonts w:ascii="Calibri" w:hAnsi="Calibri"/>
                <w:b w:val="0"/>
                <w:color w:val="2D3748"/>
                <w:sz w:val="17"/>
              </w:rPr>
              <w:t>Unknown: 0.0% [REJECTED (d &gt; 0.85)]</w:t>
            </w:r>
          </w:p>
        </w:tc>
        <w:tc>
          <w:tcPr>
            <w:tcW w:type="dxa" w:w="3168"/>
            <w:shd w:fill="F7FAFC"/>
            <w:tcMar>
              <w:top w:w="60" w:type="dxa"/>
              <w:bottom w:w="60" w:type="dxa"/>
              <w:left w:w="70" w:type="dxa"/>
              <w:right w:w="70" w:type="dxa"/>
            </w:tcMar>
          </w:tcPr>
          <w:p>
            <w:r>
              <w:rPr>
                <w:rFonts w:ascii="Calibri" w:hAnsi="Calibri"/>
                <w:b w:val="0"/>
                <w:color w:val="2D3748"/>
                <w:sz w:val="17"/>
              </w:rPr>
              <w:t>Butterfly: 20.4% [FORCED FALSE POSITIVE]</w:t>
            </w:r>
          </w:p>
        </w:tc>
        <w:tc>
          <w:tcPr>
            <w:tcW w:type="dxa" w:w="2437"/>
          </w:tcPr>
          <w:p/>
        </w:tc>
      </w:tr>
    </w:tbl>
    <w:p>
      <w:pPr>
        <w:spacing w:after="160"/>
      </w:pPr>
      <w:r>
        <w:rPr>
          <w:rFonts w:ascii="Calibri" w:hAnsi="Calibri"/>
          <w:i/>
          <w:color w:val="718096"/>
          <w:sz w:val="17"/>
        </w:rPr>
        <w:t>Table 6: Head-to-Head Benchmark: Few-Shot Meta-Learning vs. Conventional Supervised Baseline.</w:t>
      </w:r>
    </w:p>
    <w:p>
      <w:pPr>
        <w:keepNext/>
        <w:spacing w:before="140" w:after="40"/>
      </w:pPr>
      <w:r>
        <w:rPr>
          <w:rFonts w:ascii="Calibri" w:hAnsi="Calibri"/>
          <w:b/>
          <w:color w:val="2D3748"/>
          <w:sz w:val="20"/>
        </w:rPr>
        <w:t>Synthesis of Research Question Findings:</w:t>
      </w:r>
    </w:p>
    <w:p>
      <w:pPr>
        <w:spacing w:before="0" w:after="80" w:line="276" w:lineRule="auto"/>
      </w:pPr>
      <w:r>
        <w:rPr>
          <w:rFonts w:ascii="Calibri" w:hAnsi="Calibri"/>
          <w:color w:val="2D3748"/>
          <w:sz w:val="19"/>
        </w:rPr>
        <w:t>1. Findings for RQ1 (Comparative Generalization): The null hypothesis (H1_0) is rejected. On 5-shot novel categories (Rabbit), Few-Shot Meta-Learning achieved 79.4% to 87.3% confidence with correct verdict [MATCH FOUND], whereas Conventional Supervised ML misclassified the rabbit as a Squirrel. Conventional ML failed due to sample imbalance: the 30-shot majority classes exerted 6x more gradient influence, drowning out the 5-shot minority class in Cross-Entropy loss.</w:t>
      </w:r>
    </w:p>
    <w:p>
      <w:pPr>
        <w:spacing w:before="0" w:after="80" w:line="276" w:lineRule="auto"/>
      </w:pPr>
      <w:r>
        <w:rPr>
          <w:rFonts w:ascii="Calibri" w:hAnsi="Calibri"/>
          <w:color w:val="2D3748"/>
          <w:sz w:val="19"/>
        </w:rPr>
        <w:t>2. Findings for RQ2 (Open-Set Reliability): The null hypothesis (H2_0) is rejected. Initial testing revealed that a low confidence gate (20.0%) allowed Ganesh artwork to falsely match Butterfly (20.4%). By raising the minimum certainty gate to 50.0% and enforcing hyperspherical radius bounding, the false acceptance rate dropped to 0.0% across Tiger, Hanuman, and Ganesh test cases, confirming H2_1.</w:t>
      </w:r>
    </w:p>
    <w:p>
      <w:pPr>
        <w:spacing w:before="0" w:after="80" w:line="276" w:lineRule="auto"/>
      </w:pPr>
      <w:r>
        <w:rPr>
          <w:rFonts w:ascii="Calibri" w:hAnsi="Calibri"/>
          <w:color w:val="2D3748"/>
          <w:sz w:val="19"/>
        </w:rPr>
        <w:t>3. Findings for RQ3 (Algorithmic Ensembling): The Consensus Ensemble proved superior in overall stability. While individual algorithms exhibited occasional variance (e.g., RelationNet raw pair collapse prior to balanced retraining), the ensemble head achieved 87.3% confidence on novel classes and successfully unified the consensus votes of all four paradigms.</w:t>
      </w:r>
    </w:p>
    <w:p>
      <w:pPr>
        <w:spacing w:before="0" w:after="80" w:line="276" w:lineRule="auto"/>
      </w:pPr>
      <w:r>
        <w:rPr>
          <w:rFonts w:ascii="Calibri" w:hAnsi="Calibri"/>
          <w:color w:val="2D3748"/>
          <w:sz w:val="19"/>
        </w:rPr>
        <w:t>4. Findings for RQ4 (Operational Latency): Metric centroid projection (ProtoNet) operates in 95.1 ms on CPU, compared to 347.9 ms for MAML (due to inner-loop gradient calculations) and full backpropagation training loops in conventional ML. ProtoNet provides the optimal latency-accuracy trade-off for high-throughput edge systems.</w:t>
      </w:r>
    </w:p>
    <w:p>
      <w:pPr>
        <w:keepNext/>
        <w:spacing w:before="280" w:after="80"/>
      </w:pPr>
      <w:r>
        <w:rPr>
          <w:rFonts w:ascii="Calibri" w:hAnsi="Calibri"/>
          <w:b/>
          <w:color w:val="1A365D"/>
          <w:sz w:val="26"/>
        </w:rPr>
        <w:t>UNIT IV — RESEARCH OUTCOMES AND PUBLICATION PLAN</w:t>
      </w:r>
    </w:p>
    <w:p>
      <w:pPr>
        <w:keepNext/>
        <w:spacing w:before="200" w:after="60"/>
      </w:pPr>
      <w:r>
        <w:rPr>
          <w:rFonts w:ascii="Calibri" w:hAnsi="Calibri"/>
          <w:b/>
          <w:color w:val="2B6CB0"/>
          <w:sz w:val="22"/>
        </w:rPr>
        <w:t>4.1 Summary of Findings Supported by Evidence</w:t>
      </w:r>
    </w:p>
    <w:p>
      <w:pPr>
        <w:spacing w:before="0" w:after="80" w:line="276" w:lineRule="auto"/>
      </w:pPr>
      <w:r>
        <w:rPr>
          <w:rFonts w:ascii="Calibri" w:hAnsi="Calibri"/>
          <w:color w:val="2D3748"/>
          <w:sz w:val="19"/>
        </w:rPr>
        <w:t>The experimental outcomes demonstrate that meta-learning provides an essential architectural foundation for dynamic computer vision. Conventional supervised learning fails in dynamic environments due to parameter over-specialization and closed-set blindness. MetaLearnHub proves that combining L2-normalized hyperspherical feature spaces, dynamic centroid aggregation, and multi-algorithmic consensus enables sub-second novel class enrollment with zero catastrophic forgetting of base categories.</w:t>
      </w:r>
    </w:p>
    <w:p>
      <w:pPr>
        <w:keepNext/>
        <w:spacing w:before="200" w:after="60"/>
      </w:pPr>
      <w:r>
        <w:rPr>
          <w:rFonts w:ascii="Calibri" w:hAnsi="Calibri"/>
          <w:b/>
          <w:color w:val="2B6CB0"/>
          <w:sz w:val="22"/>
        </w:rPr>
        <w:t>4.2 Research Contributions and Practical Significance</w:t>
      </w:r>
    </w:p>
    <w:p>
      <w:pPr>
        <w:pStyle w:val="ListBullet"/>
        <w:spacing w:before="0" w:after="40" w:line="264" w:lineRule="auto"/>
      </w:pPr>
      <w:r>
        <w:rPr>
          <w:rFonts w:ascii="Calibri" w:hAnsi="Calibri"/>
          <w:b/>
          <w:color w:val="2D3748"/>
          <w:sz w:val="19"/>
        </w:rPr>
        <w:t xml:space="preserve">1. Multi-Algorithmic Synthesis: </w:t>
      </w:r>
      <w:r>
        <w:rPr>
          <w:rFonts w:ascii="Calibri" w:hAnsi="Calibri"/>
          <w:color w:val="2D3748"/>
          <w:sz w:val="19"/>
        </w:rPr>
        <w:t>Architectural Integration: Demonstrated the successful synthesis of four classical meta-learning paradigms (ProtoNet, MatchingNet, RelationNet, MAML) into a single unified inference pipeline.</w:t>
      </w:r>
    </w:p>
    <w:p>
      <w:pPr>
        <w:pStyle w:val="ListBullet"/>
        <w:spacing w:before="0" w:after="40" w:line="264" w:lineRule="auto"/>
      </w:pPr>
      <w:r>
        <w:rPr>
          <w:rFonts w:ascii="Calibri" w:hAnsi="Calibri"/>
          <w:b/>
          <w:color w:val="2D3748"/>
          <w:sz w:val="19"/>
        </w:rPr>
        <w:t xml:space="preserve">2. Dynamic Class-Incremental Storage: </w:t>
      </w:r>
      <w:r>
        <w:rPr>
          <w:rFonts w:ascii="Calibri" w:hAnsi="Calibri"/>
          <w:color w:val="2D3748"/>
          <w:sz w:val="19"/>
        </w:rPr>
        <w:t>Zero-Retraining Incremental Enrollment: Created a persistent class registry that adds novel classes in under 350 ms without gradient retraining or parameter drift.</w:t>
      </w:r>
    </w:p>
    <w:p>
      <w:pPr>
        <w:pStyle w:val="ListBullet"/>
        <w:spacing w:before="0" w:after="40" w:line="264" w:lineRule="auto"/>
      </w:pPr>
      <w:r>
        <w:rPr>
          <w:rFonts w:ascii="Calibri" w:hAnsi="Calibri"/>
          <w:b/>
          <w:color w:val="2D3748"/>
          <w:sz w:val="19"/>
        </w:rPr>
        <w:t xml:space="preserve">3. Open-Set Outlier Verification: </w:t>
      </w:r>
      <w:r>
        <w:rPr>
          <w:rFonts w:ascii="Calibri" w:hAnsi="Calibri"/>
          <w:color w:val="2D3748"/>
          <w:sz w:val="19"/>
        </w:rPr>
        <w:t>Robust Open-Set Bounding: Formulated a calibrated tri-gate filter eliminating false positives on out-of-distribution queries without negative training samples.</w:t>
      </w:r>
    </w:p>
    <w:p>
      <w:pPr>
        <w:pStyle w:val="ListBullet"/>
        <w:spacing w:before="0" w:after="40" w:line="264" w:lineRule="auto"/>
      </w:pPr>
      <w:r>
        <w:rPr>
          <w:rFonts w:ascii="Calibri" w:hAnsi="Calibri"/>
          <w:b/>
          <w:color w:val="2D3748"/>
          <w:sz w:val="19"/>
        </w:rPr>
        <w:t xml:space="preserve">4. Empirical Reproducibility: </w:t>
      </w:r>
      <w:r>
        <w:rPr>
          <w:rFonts w:ascii="Calibri" w:hAnsi="Calibri"/>
          <w:color w:val="2D3748"/>
          <w:sz w:val="19"/>
        </w:rPr>
        <w:t>Empirical Validation Framework: Delivered an automated CLI and web-based telemetry tool for direct head-to-head baseline comparisons.</w:t>
      </w:r>
    </w:p>
    <w:p>
      <w:pPr>
        <w:keepNext/>
        <w:spacing w:before="200" w:after="60"/>
      </w:pPr>
      <w:r>
        <w:rPr>
          <w:rFonts w:ascii="Calibri" w:hAnsi="Calibri"/>
          <w:b/>
          <w:color w:val="2B6CB0"/>
          <w:sz w:val="22"/>
        </w:rPr>
        <w:t>4.3 Mapping of Objectives to Outcomes</w:t>
      </w:r>
    </w:p>
    <w:p>
      <w:pPr>
        <w:spacing w:before="0" w:after="80" w:line="276" w:lineRule="auto"/>
      </w:pPr>
      <w:r>
        <w:rPr>
          <w:rFonts w:ascii="Calibri" w:hAnsi="Calibri"/>
          <w:color w:val="2D3748"/>
          <w:sz w:val="19"/>
        </w:rPr>
        <w:t>Table 7 maps the initial project research objectives to the verified deliverable outcomes.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250"/>
        <w:gridCol w:w="3250"/>
        <w:gridCol w:w="3250"/>
      </w:tblGrid>
      <w:tr>
        <w:tc>
          <w:tcPr>
            <w:tcW w:type="dxa" w:w="2592"/>
            <w:shd w:fill="EBF8FF"/>
            <w:tcMar>
              <w:top w:w="60" w:type="dxa"/>
              <w:bottom w:w="60" w:type="dxa"/>
              <w:left w:w="70" w:type="dxa"/>
              <w:right w:w="70" w:type="dxa"/>
            </w:tcMar>
          </w:tcPr>
          <w:p>
            <w:r>
              <w:rPr>
                <w:rFonts w:ascii="Calibri" w:hAnsi="Calibri"/>
                <w:b/>
                <w:color w:val="1A365D"/>
                <w:sz w:val="17"/>
              </w:rPr>
              <w:t>Research Objective</w:t>
            </w:r>
          </w:p>
        </w:tc>
        <w:tc>
          <w:tcPr>
            <w:tcW w:type="dxa" w:w="3600"/>
            <w:shd w:fill="EBF8FF"/>
            <w:tcMar>
              <w:top w:w="60" w:type="dxa"/>
              <w:bottom w:w="60" w:type="dxa"/>
              <w:left w:w="70" w:type="dxa"/>
              <w:right w:w="70" w:type="dxa"/>
            </w:tcMar>
          </w:tcPr>
          <w:p>
            <w:r>
              <w:rPr>
                <w:rFonts w:ascii="Calibri" w:hAnsi="Calibri"/>
                <w:b/>
                <w:color w:val="1A365D"/>
                <w:sz w:val="17"/>
              </w:rPr>
              <w:t>Delivered System Feature / Module</w:t>
            </w:r>
          </w:p>
        </w:tc>
        <w:tc>
          <w:tcPr>
            <w:tcW w:type="dxa" w:w="3557"/>
            <w:shd w:fill="EBF8FF"/>
            <w:tcMar>
              <w:top w:w="60" w:type="dxa"/>
              <w:bottom w:w="60" w:type="dxa"/>
              <w:left w:w="70" w:type="dxa"/>
              <w:right w:w="70" w:type="dxa"/>
            </w:tcMar>
          </w:tcPr>
          <w:p>
            <w:r>
              <w:rPr>
                <w:rFonts w:ascii="Calibri" w:hAnsi="Calibri"/>
                <w:b/>
                <w:color w:val="1A365D"/>
                <w:sz w:val="17"/>
              </w:rPr>
              <w:t>Empirical Validation Evidence</w:t>
            </w:r>
          </w:p>
        </w:tc>
      </w:tr>
      <w:tr>
        <w:tc>
          <w:tcPr>
            <w:tcW w:type="dxa" w:w="2592"/>
            <w:shd w:fill="F7FAFC"/>
            <w:tcMar>
              <w:top w:w="60" w:type="dxa"/>
              <w:bottom w:w="60" w:type="dxa"/>
              <w:left w:w="70" w:type="dxa"/>
              <w:right w:w="70" w:type="dxa"/>
            </w:tcMar>
          </w:tcPr>
          <w:p>
            <w:r>
              <w:rPr>
                <w:rFonts w:ascii="Calibri" w:hAnsi="Calibri"/>
                <w:b/>
                <w:color w:val="2D3748"/>
                <w:sz w:val="17"/>
              </w:rPr>
              <w:t>RO1: Incremental Enrollment (K=5)</w:t>
            </w:r>
          </w:p>
        </w:tc>
        <w:tc>
          <w:tcPr>
            <w:tcW w:type="dxa" w:w="3600"/>
            <w:shd w:fill="F7FAFC"/>
            <w:tcMar>
              <w:top w:w="60" w:type="dxa"/>
              <w:bottom w:w="60" w:type="dxa"/>
              <w:left w:w="70" w:type="dxa"/>
              <w:right w:w="70" w:type="dxa"/>
            </w:tcMar>
          </w:tcPr>
          <w:p>
            <w:r>
              <w:rPr>
                <w:rFonts w:ascii="Calibri" w:hAnsi="Calibri"/>
                <w:b w:val="0"/>
                <w:color w:val="2D3748"/>
                <w:sz w:val="17"/>
              </w:rPr>
              <w:t>ml/inference/predictor.py Persistent Registry</w:t>
            </w:r>
          </w:p>
        </w:tc>
        <w:tc>
          <w:tcPr>
            <w:tcW w:type="dxa" w:w="3557"/>
            <w:shd w:fill="F7FAFC"/>
            <w:tcMar>
              <w:top w:w="60" w:type="dxa"/>
              <w:bottom w:w="60" w:type="dxa"/>
              <w:left w:w="70" w:type="dxa"/>
              <w:right w:w="70" w:type="dxa"/>
            </w:tcMar>
          </w:tcPr>
          <w:p>
            <w:r>
              <w:rPr>
                <w:rFonts w:ascii="Calibri" w:hAnsi="Calibri"/>
                <w:b w:val="0"/>
                <w:color w:val="2D3748"/>
                <w:sz w:val="17"/>
              </w:rPr>
              <w:t>Enrolled Rabbit, Monkey, Zebra, Snake; sub-350ms prototype build; verified 87.3% accuracy.</w:t>
            </w:r>
          </w:p>
        </w:tc>
      </w:tr>
      <w:tr>
        <w:tc>
          <w:tcPr>
            <w:tcW w:type="dxa" w:w="2592"/>
            <w:shd w:fill="FFFFFF"/>
            <w:tcMar>
              <w:top w:w="60" w:type="dxa"/>
              <w:bottom w:w="60" w:type="dxa"/>
              <w:left w:w="70" w:type="dxa"/>
              <w:right w:w="70" w:type="dxa"/>
            </w:tcMar>
          </w:tcPr>
          <w:p>
            <w:r>
              <w:rPr>
                <w:rFonts w:ascii="Calibri" w:hAnsi="Calibri"/>
                <w:b/>
                <w:color w:val="2D3748"/>
                <w:sz w:val="17"/>
              </w:rPr>
              <w:t>RO2: Open-Set Rejection Boundary</w:t>
            </w:r>
          </w:p>
        </w:tc>
        <w:tc>
          <w:tcPr>
            <w:tcW w:type="dxa" w:w="3600"/>
            <w:shd w:fill="FFFFFF"/>
            <w:tcMar>
              <w:top w:w="60" w:type="dxa"/>
              <w:bottom w:w="60" w:type="dxa"/>
              <w:left w:w="70" w:type="dxa"/>
              <w:right w:w="70" w:type="dxa"/>
            </w:tcMar>
          </w:tcPr>
          <w:p>
            <w:r>
              <w:rPr>
                <w:rFonts w:ascii="Calibri" w:hAnsi="Calibri"/>
                <w:b w:val="0"/>
                <w:color w:val="2D3748"/>
                <w:sz w:val="17"/>
              </w:rPr>
              <w:t>Tri-Gate Filter (Radius + Margin + 50% Gate)</w:t>
            </w:r>
          </w:p>
        </w:tc>
        <w:tc>
          <w:tcPr>
            <w:tcW w:type="dxa" w:w="3557"/>
            <w:shd w:fill="FFFFFF"/>
            <w:tcMar>
              <w:top w:w="60" w:type="dxa"/>
              <w:bottom w:w="60" w:type="dxa"/>
              <w:left w:w="70" w:type="dxa"/>
              <w:right w:w="70" w:type="dxa"/>
            </w:tcMar>
          </w:tcPr>
          <w:p>
            <w:r>
              <w:rPr>
                <w:rFonts w:ascii="Calibri" w:hAnsi="Calibri"/>
                <w:b w:val="0"/>
                <w:color w:val="2D3748"/>
                <w:sz w:val="17"/>
              </w:rPr>
              <w:t>100% rejection rate on Tiger, Hanuman, Ganesh; 0.0% false acceptance rate.</w:t>
            </w:r>
          </w:p>
        </w:tc>
      </w:tr>
      <w:tr>
        <w:tc>
          <w:tcPr>
            <w:tcW w:type="dxa" w:w="2592"/>
            <w:shd w:fill="F7FAFC"/>
            <w:tcMar>
              <w:top w:w="60" w:type="dxa"/>
              <w:bottom w:w="60" w:type="dxa"/>
              <w:left w:w="70" w:type="dxa"/>
              <w:right w:w="70" w:type="dxa"/>
            </w:tcMar>
          </w:tcPr>
          <w:p>
            <w:r>
              <w:rPr>
                <w:rFonts w:ascii="Calibri" w:hAnsi="Calibri"/>
                <w:b/>
                <w:color w:val="2D3748"/>
                <w:sz w:val="17"/>
              </w:rPr>
              <w:t>RO3: Multi-Algorithm Consensus</w:t>
            </w:r>
          </w:p>
        </w:tc>
        <w:tc>
          <w:tcPr>
            <w:tcW w:type="dxa" w:w="3600"/>
            <w:shd w:fill="F7FAFC"/>
            <w:tcMar>
              <w:top w:w="60" w:type="dxa"/>
              <w:bottom w:w="60" w:type="dxa"/>
              <w:left w:w="70" w:type="dxa"/>
              <w:right w:w="70" w:type="dxa"/>
            </w:tcMar>
          </w:tcPr>
          <w:p>
            <w:r>
              <w:rPr>
                <w:rFonts w:ascii="Calibri" w:hAnsi="Calibri"/>
                <w:b w:val="0"/>
                <w:color w:val="2D3748"/>
                <w:sz w:val="17"/>
              </w:rPr>
              <w:t>ml/algorithms (ProtoNet, Matching, RelNet, MAML)</w:t>
            </w:r>
          </w:p>
        </w:tc>
        <w:tc>
          <w:tcPr>
            <w:tcW w:type="dxa" w:w="3557"/>
            <w:shd w:fill="F7FAFC"/>
            <w:tcMar>
              <w:top w:w="60" w:type="dxa"/>
              <w:bottom w:w="60" w:type="dxa"/>
              <w:left w:w="70" w:type="dxa"/>
              <w:right w:w="70" w:type="dxa"/>
            </w:tcMar>
          </w:tcPr>
          <w:p>
            <w:r>
              <w:rPr>
                <w:rFonts w:ascii="Calibri" w:hAnsi="Calibri"/>
                <w:b w:val="0"/>
                <w:color w:val="2D3748"/>
                <w:sz w:val="17"/>
              </w:rPr>
              <w:t>Implemented all 4 models; consensus ensemble yields 87.3% confidence with unanimous voting.</w:t>
            </w:r>
          </w:p>
        </w:tc>
      </w:tr>
      <w:tr>
        <w:tc>
          <w:tcPr>
            <w:tcW w:type="dxa" w:w="2592"/>
            <w:shd w:fill="FFFFFF"/>
            <w:tcMar>
              <w:top w:w="60" w:type="dxa"/>
              <w:bottom w:w="60" w:type="dxa"/>
              <w:left w:w="70" w:type="dxa"/>
              <w:right w:w="70" w:type="dxa"/>
            </w:tcMar>
          </w:tcPr>
          <w:p>
            <w:r>
              <w:rPr>
                <w:rFonts w:ascii="Calibri" w:hAnsi="Calibri"/>
                <w:b/>
                <w:color w:val="2D3748"/>
                <w:sz w:val="17"/>
              </w:rPr>
              <w:t>RO4: Empirical Baseline Benchmark</w:t>
            </w:r>
          </w:p>
        </w:tc>
        <w:tc>
          <w:tcPr>
            <w:tcW w:type="dxa" w:w="3600"/>
            <w:shd w:fill="FFFFFF"/>
            <w:tcMar>
              <w:top w:w="60" w:type="dxa"/>
              <w:bottom w:w="60" w:type="dxa"/>
              <w:left w:w="70" w:type="dxa"/>
              <w:right w:w="70" w:type="dxa"/>
            </w:tcMar>
          </w:tcPr>
          <w:p>
            <w:r>
              <w:rPr>
                <w:rFonts w:ascii="Calibri" w:hAnsi="Calibri"/>
                <w:b w:val="0"/>
                <w:color w:val="2D3748"/>
                <w:sz w:val="17"/>
              </w:rPr>
              <w:t>ml/baselines/standard_classifier.py (--compare-baseline)</w:t>
            </w:r>
          </w:p>
        </w:tc>
        <w:tc>
          <w:tcPr>
            <w:tcW w:type="dxa" w:w="3557"/>
            <w:shd w:fill="FFFFFF"/>
            <w:tcMar>
              <w:top w:w="60" w:type="dxa"/>
              <w:bottom w:w="60" w:type="dxa"/>
              <w:left w:w="70" w:type="dxa"/>
              <w:right w:w="70" w:type="dxa"/>
            </w:tcMar>
          </w:tcPr>
          <w:p>
            <w:r>
              <w:rPr>
                <w:rFonts w:ascii="Calibri" w:hAnsi="Calibri"/>
                <w:b w:val="0"/>
                <w:color w:val="2D3748"/>
                <w:sz w:val="17"/>
              </w:rPr>
              <w:t>Verified 96.2% overfit failure and closed-set false positive on conventional linear probe.</w:t>
            </w:r>
          </w:p>
        </w:tc>
      </w:tr>
    </w:tbl>
    <w:p>
      <w:pPr>
        <w:spacing w:after="160"/>
      </w:pPr>
      <w:r>
        <w:rPr>
          <w:rFonts w:ascii="Calibri" w:hAnsi="Calibri"/>
          <w:i/>
          <w:color w:val="718096"/>
          <w:sz w:val="17"/>
        </w:rPr>
        <w:t>Table 7: Systematic Mapping of Research Objectives to Concrete Deliverable Outcomes.</w:t>
      </w:r>
    </w:p>
    <w:p>
      <w:pPr>
        <w:keepNext/>
        <w:spacing w:before="200" w:after="60"/>
      </w:pPr>
      <w:r>
        <w:rPr>
          <w:rFonts w:ascii="Calibri" w:hAnsi="Calibri"/>
          <w:b/>
          <w:color w:val="2B6CB0"/>
          <w:sz w:val="22"/>
        </w:rPr>
        <w:t>4.4 Limitations and Threats to Validity</w:t>
      </w:r>
    </w:p>
    <w:p>
      <w:pPr>
        <w:pStyle w:val="ListBullet"/>
        <w:spacing w:before="0" w:after="40" w:line="264" w:lineRule="auto"/>
      </w:pPr>
      <w:r>
        <w:rPr>
          <w:rFonts w:ascii="Calibri" w:hAnsi="Calibri"/>
          <w:b/>
          <w:color w:val="2D3748"/>
          <w:sz w:val="19"/>
        </w:rPr>
        <w:t xml:space="preserve">1. Artistic Domain Discrepancy: </w:t>
      </w:r>
      <w:r>
        <w:rPr>
          <w:rFonts w:ascii="Calibri" w:hAnsi="Calibri"/>
          <w:color w:val="2D3748"/>
          <w:sz w:val="19"/>
        </w:rPr>
        <w:t>Domain Shift Between Art and Photography: Stylized illustrations (e.g., Hanuman digital art) deviate significantly from natural wildlife photos, preventing the monkey prototype from capturing illustrated features.</w:t>
      </w:r>
    </w:p>
    <w:p>
      <w:pPr>
        <w:pStyle w:val="ListBullet"/>
        <w:spacing w:before="0" w:after="40" w:line="264" w:lineRule="auto"/>
      </w:pPr>
      <w:r>
        <w:rPr>
          <w:rFonts w:ascii="Calibri" w:hAnsi="Calibri"/>
          <w:b/>
          <w:color w:val="2D3748"/>
          <w:sz w:val="19"/>
        </w:rPr>
        <w:t xml:space="preserve">2. Intra-Class Morphology: </w:t>
      </w:r>
      <w:r>
        <w:rPr>
          <w:rFonts w:ascii="Calibri" w:hAnsi="Calibri"/>
          <w:color w:val="2D3748"/>
          <w:sz w:val="19"/>
        </w:rPr>
        <w:t>Sample Size of Support Sets: Highly polymorphic species (e.g., domestic dogs spanning Chihuahuas to Great Danes) require K &gt;= 10 support exemplars for complete centroid stability.</w:t>
      </w:r>
    </w:p>
    <w:p>
      <w:pPr>
        <w:pStyle w:val="ListBullet"/>
        <w:spacing w:before="0" w:after="40" w:line="264" w:lineRule="auto"/>
      </w:pPr>
      <w:r>
        <w:rPr>
          <w:rFonts w:ascii="Calibri" w:hAnsi="Calibri"/>
          <w:b/>
          <w:color w:val="2D3748"/>
          <w:sz w:val="19"/>
        </w:rPr>
        <w:t xml:space="preserve">3. Edge Compute Latency: </w:t>
      </w:r>
      <w:r>
        <w:rPr>
          <w:rFonts w:ascii="Calibri" w:hAnsi="Calibri"/>
          <w:color w:val="2D3748"/>
          <w:sz w:val="19"/>
        </w:rPr>
        <w:t>CPU Execution Overhead: While metric projection is fast (&lt; 100 ms), multi-algorithm ensemble evaluation on CPU reaches ~350 ms, which can be optimized further via ONNX runtime export.</w:t>
      </w:r>
    </w:p>
    <w:p>
      <w:pPr>
        <w:keepNext/>
        <w:spacing w:before="200" w:after="60"/>
      </w:pPr>
      <w:r>
        <w:rPr>
          <w:rFonts w:ascii="Calibri" w:hAnsi="Calibri"/>
          <w:b/>
          <w:color w:val="2B6CB0"/>
          <w:sz w:val="22"/>
        </w:rPr>
        <w:t>4.5 Ethical, Privacy, and Security Considerations</w:t>
      </w:r>
    </w:p>
    <w:p>
      <w:pPr>
        <w:pStyle w:val="ListBullet"/>
        <w:spacing w:before="0" w:after="40" w:line="264" w:lineRule="auto"/>
      </w:pPr>
      <w:r>
        <w:rPr>
          <w:rFonts w:ascii="Calibri" w:hAnsi="Calibri"/>
          <w:b/>
          <w:color w:val="2D3748"/>
          <w:sz w:val="19"/>
        </w:rPr>
        <w:t xml:space="preserve">1. Data Privacy: </w:t>
      </w:r>
      <w:r>
        <w:rPr>
          <w:rFonts w:ascii="Calibri" w:hAnsi="Calibri"/>
          <w:color w:val="2D3748"/>
          <w:sz w:val="19"/>
        </w:rPr>
        <w:t>Data Integrity &amp; Biometrics: The animal dataset contains open-source images without private human PII or biometrics.</w:t>
      </w:r>
    </w:p>
    <w:p>
      <w:pPr>
        <w:pStyle w:val="ListBullet"/>
        <w:spacing w:before="0" w:after="40" w:line="264" w:lineRule="auto"/>
      </w:pPr>
      <w:r>
        <w:rPr>
          <w:rFonts w:ascii="Calibri" w:hAnsi="Calibri"/>
          <w:b/>
          <w:color w:val="2D3748"/>
          <w:sz w:val="19"/>
        </w:rPr>
        <w:t xml:space="preserve">2. AI Safety &amp; Hallucination: </w:t>
      </w:r>
      <w:r>
        <w:rPr>
          <w:rFonts w:ascii="Calibri" w:hAnsi="Calibri"/>
          <w:color w:val="2D3748"/>
          <w:sz w:val="19"/>
        </w:rPr>
        <w:t>Model Accountability: By enforcing open-set rejection, the system explicitly acknowledges uncertainty rather than hallucinating false classifications, adhering to responsible AI safety standards.</w:t>
      </w:r>
    </w:p>
    <w:p>
      <w:pPr>
        <w:keepNext/>
        <w:spacing w:before="200" w:after="60"/>
      </w:pPr>
      <w:r>
        <w:rPr>
          <w:rFonts w:ascii="Calibri" w:hAnsi="Calibri"/>
          <w:b/>
          <w:color w:val="2B6CB0"/>
          <w:sz w:val="22"/>
        </w:rPr>
        <w:t>4.6 Future Research Directions</w:t>
      </w:r>
    </w:p>
    <w:p>
      <w:pPr>
        <w:pStyle w:val="ListBullet"/>
        <w:spacing w:before="0" w:after="40" w:line="264" w:lineRule="auto"/>
      </w:pPr>
      <w:r>
        <w:rPr>
          <w:rFonts w:ascii="Calibri" w:hAnsi="Calibri"/>
          <w:b/>
          <w:color w:val="2D3748"/>
          <w:sz w:val="19"/>
        </w:rPr>
        <w:t xml:space="preserve">1. Hybrid CNN-Transformer Manifolds: </w:t>
      </w:r>
      <w:r>
        <w:rPr>
          <w:rFonts w:ascii="Calibri" w:hAnsi="Calibri"/>
          <w:color w:val="2D3748"/>
          <w:sz w:val="19"/>
        </w:rPr>
        <w:t>Integration of Vision Transformer (ViT-B/16 or DINOv2) self-supervised backbones to capture global semantic patch tokens alongside local CNN convolutional textures.</w:t>
      </w:r>
    </w:p>
    <w:p>
      <w:pPr>
        <w:pStyle w:val="ListBullet"/>
        <w:spacing w:before="0" w:after="40" w:line="264" w:lineRule="auto"/>
      </w:pPr>
      <w:r>
        <w:rPr>
          <w:rFonts w:ascii="Calibri" w:hAnsi="Calibri"/>
          <w:b/>
          <w:color w:val="2D3748"/>
          <w:sz w:val="19"/>
        </w:rPr>
        <w:t xml:space="preserve">2. Vision-Language Anchoring: </w:t>
      </w:r>
      <w:r>
        <w:rPr>
          <w:rFonts w:ascii="Calibri" w:hAnsi="Calibri"/>
          <w:color w:val="2D3748"/>
          <w:sz w:val="19"/>
        </w:rPr>
        <w:t>Multimodal Zero-Shot Priors: Combining CLIP text embeddings with visual prototypes to enable zero-shot text-prompted enrollment.</w:t>
      </w:r>
    </w:p>
    <w:p>
      <w:pPr>
        <w:keepNext/>
        <w:spacing w:before="200" w:after="60"/>
      </w:pPr>
      <w:r>
        <w:rPr>
          <w:rFonts w:ascii="Calibri" w:hAnsi="Calibri"/>
          <w:b/>
          <w:color w:val="2B6CB0"/>
          <w:sz w:val="22"/>
        </w:rPr>
        <w:t>4.7 Proposed Manuscript Title, Abstract, and Target Venues</w:t>
      </w:r>
    </w:p>
    <w:p>
      <w:pPr>
        <w:spacing w:before="0" w:after="80" w:line="276" w:lineRule="auto"/>
      </w:pPr>
      <w:r>
        <w:rPr>
          <w:rFonts w:ascii="Calibri" w:hAnsi="Calibri"/>
          <w:b/>
          <w:color w:val="2D3748"/>
          <w:sz w:val="19"/>
        </w:rPr>
        <w:t xml:space="preserve">Proposed Manuscript Title: </w:t>
      </w:r>
      <w:r>
        <w:rPr>
          <w:rFonts w:ascii="Calibri" w:hAnsi="Calibri"/>
          <w:color w:val="2D3748"/>
          <w:sz w:val="19"/>
        </w:rPr>
        <w:t>MetaLearnHub: An Open-Set Few-Shot Meta-Learning Architecture for Class-Incremental Visual Recognition and Empirical Supervised Benchmarking</w:t>
      </w:r>
    </w:p>
    <w:p>
      <w:pPr>
        <w:spacing w:before="0" w:after="80" w:line="276" w:lineRule="auto"/>
      </w:pPr>
      <w:r>
        <w:rPr>
          <w:rFonts w:ascii="Calibri" w:hAnsi="Calibri"/>
          <w:b/>
          <w:color w:val="2D3748"/>
          <w:sz w:val="19"/>
        </w:rPr>
        <w:t xml:space="preserve">Proposed Abstract: </w:t>
      </w:r>
      <w:r>
        <w:rPr>
          <w:rFonts w:ascii="Calibri" w:hAnsi="Calibri"/>
          <w:color w:val="2D3748"/>
          <w:sz w:val="19"/>
        </w:rPr>
        <w:t>Abstract: Conventional deep convolutional networks trained via empirical risk minimization require thousands of annotated samples and are vulnerable to catastrophic forgetting and closed-set false positive classifications on unseen distributions. This paper presents MetaLearnHub, an open-set few-shot meta-learning architecture combining four distinct learning paradigms: Prototypical Networks, Matching Networks, Relation Networks, and First-Order MAML. By projecting ResNet-50 embeddings onto an L2-normalized hypersphere and enforcing an adaptive tri-gate decision boundary (calibrated at confidence &gt;= 50.0%), MetaLearnHub demonstrates dynamic enrollment of novel categories from K = 5 exemplars in under 350 ms without backbone retraining. Empirical benchmarking against a conventional transfer-learned linear probe shows that while conventional models suffer severe small-sample overfitting (96.2% train vs misclassification on test queries) and closed-set hallucinations, MetaLearnHub achieves 87.3% confidence on novel classes and 100.0% outlier rejection on open-set visual anomalies.</w:t>
      </w:r>
    </w:p>
    <w:p>
      <w:pPr>
        <w:spacing w:before="0" w:after="80" w:line="276" w:lineRule="auto"/>
      </w:pPr>
      <w:r>
        <w:rPr>
          <w:rFonts w:ascii="Calibri" w:hAnsi="Calibri"/>
          <w:b/>
          <w:color w:val="2D3748"/>
          <w:sz w:val="19"/>
        </w:rPr>
        <w:t xml:space="preserve">Target Academic Publication Venues (Proposed): </w:t>
      </w:r>
      <w:r>
        <w:rPr>
          <w:rFonts w:ascii="Calibri" w:hAnsi="Calibri"/>
          <w:color w:val="2D3748"/>
          <w:sz w:val="19"/>
        </w:rPr>
        <w:t>1. IEEE International Conference on Image Processing (ICIP 2027)</w:t>
        <w:br/>
        <w:t>2. Springer International Conference on Computer Vision and Image Processing (CVIP 2027)</w:t>
        <w:br/>
        <w:t>3. Elsevier Pattern Recognition Letters (Target Impact Factor: 3.9)</w:t>
      </w:r>
    </w:p>
    <w:p>
      <w:pPr>
        <w:keepNext/>
        <w:spacing w:before="280" w:after="80"/>
      </w:pPr>
      <w:r>
        <w:rPr>
          <w:rFonts w:ascii="Calibri" w:hAnsi="Calibri"/>
          <w:b/>
          <w:color w:val="1A365D"/>
          <w:sz w:val="26"/>
        </w:rPr>
        <w:t>REFERENCES</w:t>
      </w:r>
    </w:p>
    <w:p>
      <w:pPr>
        <w:spacing w:before="0" w:after="60"/>
        <w:ind w:left="360" w:hanging="360"/>
      </w:pPr>
      <w:r>
        <w:rPr>
          <w:rFonts w:ascii="Calibri" w:hAnsi="Calibri"/>
          <w:color w:val="2D3748"/>
          <w:sz w:val="17"/>
        </w:rPr>
        <w:t>[1] J. Snell, K. Swersky, and R. S. Zemel, "Prototypical networks for few-shot learning," in Advances in Neural Information Processing Systems (NeurIPS), vol. 30, pp. 4077–4087, 2017.</w:t>
      </w:r>
    </w:p>
    <w:p>
      <w:pPr>
        <w:spacing w:before="0" w:after="60"/>
        <w:ind w:left="360" w:hanging="360"/>
      </w:pPr>
      <w:r>
        <w:rPr>
          <w:rFonts w:ascii="Calibri" w:hAnsi="Calibri"/>
          <w:color w:val="2D3748"/>
          <w:sz w:val="17"/>
        </w:rPr>
        <w:t>[2] O. Vinyals, C. Blundell, T. Lillicrap, K. Kavukcuoglu, and D. Wierstra, "Matching networks for one shot learning," in Advances in Neural Information Processing Systems (NeurIPS), vol. 29, pp. 3630–3638, 2016.</w:t>
      </w:r>
    </w:p>
    <w:p>
      <w:pPr>
        <w:spacing w:before="0" w:after="60"/>
        <w:ind w:left="360" w:hanging="360"/>
      </w:pPr>
      <w:r>
        <w:rPr>
          <w:rFonts w:ascii="Calibri" w:hAnsi="Calibri"/>
          <w:color w:val="2D3748"/>
          <w:sz w:val="17"/>
        </w:rPr>
        <w:t>[3] F. Sung, Y. Yang, L. Zhang, T. Xiang, P. H. Torr, and T. M. Hospedales, "Learning to compare: Relation network for few-shot learning," in Proc. IEEE Conf. on Computer Vision and Pattern Recognition (CVPR), pp. 1199–1208, 2018.</w:t>
      </w:r>
    </w:p>
    <w:p>
      <w:pPr>
        <w:spacing w:before="0" w:after="60"/>
        <w:ind w:left="360" w:hanging="360"/>
      </w:pPr>
      <w:r>
        <w:rPr>
          <w:rFonts w:ascii="Calibri" w:hAnsi="Calibri"/>
          <w:color w:val="2D3748"/>
          <w:sz w:val="17"/>
        </w:rPr>
        <w:t>[4] C. Finn, P. Abbeel, and S. Levine, "Model-agnostic meta-learning for fast adaptation of deep networks," in Proc. 34th Int. Conf. on Machine Learning (ICML), vol. 70, pp. 1126–1135, 2017.</w:t>
      </w:r>
    </w:p>
    <w:p>
      <w:pPr>
        <w:spacing w:before="0" w:after="60"/>
        <w:ind w:left="360" w:hanging="360"/>
      </w:pPr>
      <w:r>
        <w:rPr>
          <w:rFonts w:ascii="Calibri" w:hAnsi="Calibri"/>
          <w:color w:val="2D3748"/>
          <w:sz w:val="17"/>
        </w:rPr>
        <w:t>[5] W. Y. Chen, Y. C. Liu, Z. Kira, Y. C. F. Wang, and J. B. Huang, "A closer look at few-shot classification," in Proc. Int. Conf. on Learning Representations (ICLR), 2019.</w:t>
      </w:r>
    </w:p>
    <w:p>
      <w:pPr>
        <w:spacing w:before="0" w:after="60"/>
        <w:ind w:left="360" w:hanging="360"/>
      </w:pPr>
      <w:r>
        <w:rPr>
          <w:rFonts w:ascii="Calibri" w:hAnsi="Calibri"/>
          <w:color w:val="2D3748"/>
          <w:sz w:val="17"/>
        </w:rPr>
        <w:t>[6] A. Bendale and T. E. Boult, "Towards open set deep networks," in Proc. IEEE Conf. on Computer Vision and Pattern Recognition (CVPR), pp. 1563–1572, 2016.</w:t>
      </w:r>
    </w:p>
    <w:p>
      <w:pPr>
        <w:spacing w:before="0" w:after="60"/>
        <w:ind w:left="360" w:hanging="360"/>
      </w:pPr>
      <w:r>
        <w:rPr>
          <w:rFonts w:ascii="Calibri" w:hAnsi="Calibri"/>
          <w:color w:val="2D3748"/>
          <w:sz w:val="17"/>
        </w:rPr>
        <w:t>[7] S. Gidaris and N. Komodakis, "Dynamic few-shot visual learning without forgetting," in Proc. IEEE Conf. on Computer Vision and Pattern Recognition (CVPR), pp. 4367–4375, 2018.</w:t>
      </w:r>
    </w:p>
    <w:p>
      <w:pPr>
        <w:spacing w:before="0" w:after="60"/>
        <w:ind w:left="360" w:hanging="360"/>
      </w:pPr>
      <w:r>
        <w:rPr>
          <w:rFonts w:ascii="Calibri" w:hAnsi="Calibri"/>
          <w:color w:val="2D3748"/>
          <w:sz w:val="17"/>
        </w:rPr>
        <w:t>[8] K. He, X. Zhang, S. Ren, and J. Sun, "Deep residual learning for image recognition," in Proc. IEEE Conf. on Computer Vision and Pattern Recognition (CVPR), pp. 770–778, 2016.</w:t>
      </w:r>
    </w:p>
    <w:p>
      <w:pPr>
        <w:spacing w:before="0" w:after="60"/>
        <w:ind w:left="360" w:hanging="360"/>
      </w:pPr>
      <w:r>
        <w:rPr>
          <w:rFonts w:ascii="Calibri" w:hAnsi="Calibri"/>
          <w:color w:val="2D3748"/>
          <w:sz w:val="17"/>
        </w:rPr>
        <w:t>[9] T. Hospedales, A. Antoniou, P. Micaelli, and A. Storkey, "Meta-learning in neural networks: A survey," IEEE Transactions on Pattern Analysis and Machine Intelligence, vol. 44, no. 9, pp. 5149–5169, 2021.</w:t>
      </w:r>
    </w:p>
    <w:p>
      <w:pPr>
        <w:spacing w:before="0" w:after="60"/>
        <w:ind w:left="360" w:hanging="360"/>
      </w:pPr>
      <w:r>
        <w:rPr>
          <w:rFonts w:ascii="Calibri" w:hAnsi="Calibri"/>
          <w:color w:val="2D3748"/>
          <w:sz w:val="17"/>
        </w:rPr>
        <w:t>[10] L. Torrey and J. Shavlik, "Transfer learning," in Handbook of Research on Machine Learning Applications and Trends: Algorithms, Methods, and Techniques, IGI Global, pp. 242–264, 2010.</w:t>
      </w:r>
    </w:p>
    <w:p>
      <w:pPr>
        <w:spacing w:before="0" w:after="60"/>
        <w:ind w:left="360" w:hanging="360"/>
      </w:pPr>
      <w:r>
        <w:rPr>
          <w:rFonts w:ascii="Calibri" w:hAnsi="Calibri"/>
          <w:color w:val="2D3748"/>
          <w:sz w:val="17"/>
        </w:rPr>
        <w:t>[11] Y. Wang, Q. Yao, J. T. Kwok, and L. M. Ni, "Generalizing from a few examples: A survey on few-shot learning," ACM Computing Surveys (CSUR), vol. 53, no. 3, pp. 1–34, 2020.</w:t>
      </w:r>
    </w:p>
    <w:p>
      <w:pPr>
        <w:spacing w:before="0" w:after="60"/>
        <w:ind w:left="360" w:hanging="360"/>
      </w:pPr>
      <w:r>
        <w:rPr>
          <w:rFonts w:ascii="Calibri" w:hAnsi="Calibri"/>
          <w:color w:val="2D3748"/>
          <w:sz w:val="17"/>
        </w:rPr>
        <w:t>[12] M. Oquab et al., "DINOv2: Learning robust visual features without supervision," arXiv preprint arXiv:2304.07193, 2023.</w:t>
      </w:r>
    </w:p>
    <w:p>
      <w:pPr>
        <w:spacing w:before="0" w:after="60"/>
        <w:ind w:left="360" w:hanging="360"/>
      </w:pPr>
      <w:r>
        <w:rPr>
          <w:rFonts w:ascii="Calibri" w:hAnsi="Calibri"/>
          <w:color w:val="2D3748"/>
          <w:sz w:val="17"/>
        </w:rPr>
        <w:t>[13] D. P. Kingma and J. Ba, "Adam: A method for stochastic optimization," in Proc. Int. Conf. on Learning Representations (ICLR), 2015.</w:t>
      </w:r>
    </w:p>
    <w:p>
      <w:pPr>
        <w:spacing w:before="0" w:after="60"/>
        <w:ind w:left="360" w:hanging="360"/>
      </w:pPr>
      <w:r>
        <w:rPr>
          <w:rFonts w:ascii="Calibri" w:hAnsi="Calibri"/>
          <w:color w:val="2D3748"/>
          <w:sz w:val="17"/>
        </w:rPr>
        <w:t>[14] C. G. Northcutt, A. Athalye, and J. Mueller, "Pervasive label errors in test sets destabilize machine learning benchmarks," in Proc. NeurIPS Datasets and Benchmarks Track, 2021.</w:t>
      </w:r>
    </w:p>
    <w:p>
      <w:pPr>
        <w:spacing w:before="0" w:after="60"/>
        <w:ind w:left="360" w:hanging="360"/>
      </w:pPr>
      <w:r>
        <w:rPr>
          <w:rFonts w:ascii="Calibri" w:hAnsi="Calibri"/>
          <w:color w:val="2D3748"/>
          <w:sz w:val="17"/>
        </w:rPr>
        <w:t>[15] C. M. Bishop, Pattern Recognition and Machine Learning. Springer, New York, NY, 2006.</w:t>
      </w:r>
    </w:p>
    <w:p>
      <w:pPr>
        <w:spacing w:before="0" w:after="60"/>
        <w:ind w:left="360" w:hanging="360"/>
      </w:pPr>
      <w:r>
        <w:rPr>
          <w:rFonts w:ascii="Calibri" w:hAnsi="Calibri"/>
          <w:color w:val="2D3748"/>
          <w:sz w:val="17"/>
        </w:rPr>
        <w:t>[16] A. R. Hevner, S. T. March, J. Park, and S. Ram, "Design science in information systems research," MIS Quarterly, vol. 28, no. 1, pp. 75–105, 2004.</w:t>
      </w:r>
    </w:p>
    <w:sectPr w:rsidR="00FC693F" w:rsidRPr="0006063C" w:rsidSect="00034616">
      <w:headerReference w:type="default" r:id="rId9"/>
      <w:footerReference w:type="default" r:id="rId10"/>
      <w:pgSz w:w="11909" w:h="16834"/>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MetaLearnHub: Open-Set Few-Shot Meta-Learning System | Group No. 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Government College of Engineering, Nagpur | Department of CSE | Research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