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A365D"/>
          <w:sz w:val="40"/>
        </w:rPr>
        <w:t>MetaLearnHub: System Architecture &amp; Technical Documentation</w:t>
      </w:r>
    </w:p>
    <w:p>
      <w:pPr>
        <w:spacing w:before="0" w:after="280"/>
        <w:jc w:val="center"/>
      </w:pPr>
      <w:r>
        <w:rPr>
          <w:rFonts w:ascii="Calibri" w:hAnsi="Calibri"/>
          <w:color w:val="2B6CB0"/>
          <w:sz w:val="24"/>
        </w:rPr>
        <w:t>An Open-Set Few-Shot Meta-Learning Visual Classification System</w:t>
        <w:br/>
        <w:t>Government College of Engineering, Nagpur | Department of Computer Science &amp; Engineering | Group 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left w:val="single" w:sz="20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B6CB0"/>
                <w:sz w:val="19"/>
              </w:rPr>
              <w:t xml:space="preserve">SYSTEM OVERVIEW: </w:t>
            </w:r>
            <w:r>
              <w:rPr>
                <w:rFonts w:ascii="Calibri" w:hAnsi="Calibri"/>
                <w:color w:val="2D3748"/>
                <w:sz w:val="19"/>
              </w:rPr>
              <w:t>This document provides the definitive architectural, algorithmic, mathematical, and operational specification of MetaLearnHub. It encompasses the end-to-end full-stack design, episodic data pipelines, leakage-prevention protocol, four meta-learning algorithms, dynamic open-set class registry, and scientific evaluation.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1. Executive Summary &amp; Problem Formulation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Modern deep convolutional networks excel in high-data regimes but fail when applied to data-scarce, open-world settings. Standard classifiers require thousands of labeled samples per visual class, are restricted to closed sets, and require complete retraining when new classes are introduced. In few-shot settings (1-5 samples), conventional deep models suffer from severe overfitting, slow gradient optimization, and blind false-positive overconfidence on novel categories.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MetaLearnHub resolves these limitations by implementing an episodic meta-learning framework. Rather than learning class-specific boundaries, the network learns an inductive metric representation space across base categories. When a novel class is introduced, the model adapts instantaneously from 1 to 5 support exemplars without backpropagation or weight modification.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Core Hypothesis: </w:t>
      </w:r>
      <w:r>
        <w:rPr>
          <w:rFonts w:ascii="Calibri" w:hAnsi="Calibri"/>
          <w:color w:val="2D3748"/>
          <w:sz w:val="20"/>
        </w:rPr>
        <w:t>Transferable inductive feature learning across heterogeneous visual domains.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Data Hygiene: </w:t>
      </w:r>
      <w:r>
        <w:rPr>
          <w:rFonts w:ascii="Calibri" w:hAnsi="Calibri"/>
          <w:color w:val="2D3748"/>
          <w:sz w:val="20"/>
        </w:rPr>
        <w:t>Guaranteed zero-leakage atomic partitioning for paired clean and augmented images.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Rapid Adaptation: </w:t>
      </w:r>
      <w:r>
        <w:rPr>
          <w:rFonts w:ascii="Calibri" w:hAnsi="Calibri"/>
          <w:color w:val="2D3748"/>
          <w:sz w:val="20"/>
        </w:rPr>
        <w:t>Instantaneous (&lt;25 ms) class registration without neural network retraining.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Open-Set Reliability: </w:t>
      </w:r>
      <w:r>
        <w:rPr>
          <w:rFonts w:ascii="Calibri" w:hAnsi="Calibri"/>
          <w:color w:val="2D3748"/>
          <w:sz w:val="20"/>
        </w:rPr>
        <w:t>3-Gate Out-of-Distribution rejection distinguishing known classes from unseen anomalies.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2. End-to-End System Architecture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MetaLearnHub is architected as a modular, decoupled four-tier platform designed for scalability, reproducible research, and real-time inference: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50"/>
        <w:gridCol w:w="3250"/>
        <w:gridCol w:w="3250"/>
      </w:tblGrid>
      <w:tr>
        <w:trPr>
          <w:tblHeader/>
        </w:trPr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Technologies</w:t>
            </w:r>
          </w:p>
        </w:tc>
        <w:tc>
          <w:tcPr>
            <w:tcW w:type="dxa" w:w="4709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1. Presentation Tier (SPA)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React 18, TypeScript, Vite, Tailwind CSS, Lucide</w:t>
            </w:r>
          </w:p>
        </w:tc>
        <w:tc>
          <w:tcPr>
            <w:tcW w:type="dxa" w:w="470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Responsive dashboard, dataset audit, live training monitor, evaluation lab, class registration, query interface.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2. Application Controller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FastAPI, Python 3.10+, Uvicorn, BackgroundTasks</w:t>
            </w:r>
          </w:p>
        </w:tc>
        <w:tc>
          <w:tcPr>
            <w:tcW w:type="dxa" w:w="4709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REST API routes, asynchronous thread worker management, multipart upload handling, JSON serialization, state streaming.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3. Meta-Learning ML Core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PyTorch 2.x, Torchvision, Scikit-learn, NumPy, PIL</w:t>
            </w:r>
          </w:p>
        </w:tc>
        <w:tc>
          <w:tcPr>
            <w:tcW w:type="dxa" w:w="470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Feature backbones (ResNet-18/50), 4 meta-learning algorithms, episodic samplers, LOCO evaluator, open-set predictor.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4. Persistence &amp; Artifacts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File System, JSON manifests, PyTorch .pt tensors</w:t>
            </w:r>
          </w:p>
        </w:tc>
        <w:tc>
          <w:tcPr>
            <w:tcW w:type="dxa" w:w="4709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Class Registry (data/class_registry/), Model Checkpoints (checkpoints/), Experiment logs (experiments/), Raw datasets.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3. Data Engineering &amp; Zero-Leakage Protocol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3.1 The Base vs. Transformed Pairing Threat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Computer vision benchmarks frequently contain base images (e.g., Ayrshirecattle100.jpg) and transformed or augmented counterparts (e.g., Ayrshirecattle100_c.jpg). If naive random train/test splitting is performed, base and transformed images land across the split boundary. The model memorizes background cues, resulting in catastrophic data leakage and falsely inflated accuracy.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3.2 Atomic Group-Aware Partitioning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MetaLearnHub implements an atomic group-aware partitioning algorithm in ml/datasets/inspector.py and ml/datasets/splitter.py: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Identifier Extraction: </w:t>
      </w:r>
      <w:r>
        <w:rPr>
          <w:rFonts w:ascii="Calibri" w:hAnsi="Calibri"/>
          <w:color w:val="2D3748"/>
          <w:sz w:val="20"/>
        </w:rPr>
        <w:t>Filenames are parsed to strip suffix tags, extracting an invariant sample_group_id.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Atomic Allocation: </w:t>
      </w:r>
      <w:r>
        <w:rPr>
          <w:rFonts w:ascii="Calibri" w:hAnsi="Calibri"/>
          <w:color w:val="2D3748"/>
          <w:sz w:val="20"/>
        </w:rPr>
        <w:t>Splitting operates strictly at the group level. All members of a group land in the exact same split.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Hash Verification: </w:t>
      </w:r>
      <w:r>
        <w:rPr>
          <w:rFonts w:ascii="Calibri" w:hAnsi="Calibri"/>
          <w:color w:val="2D3748"/>
          <w:sz w:val="20"/>
        </w:rPr>
        <w:t>Cryptographic MD5 hashing identifies bit-for-bit duplicate files across different folders.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LOCO Strict Isolation: </w:t>
      </w:r>
      <w:r>
        <w:rPr>
          <w:rFonts w:ascii="Calibri" w:hAnsi="Calibri"/>
          <w:color w:val="2D3748"/>
          <w:sz w:val="20"/>
        </w:rPr>
        <w:t>The LOCO protocol strictly withholds one complete breed (e.g., Red Dane) from all meta-training.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4. Feature Extractors &amp; Representation Space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MetaLearnHub removes dense classification layers from deep residual networks, utilizing them as embedding functions f_theta(x):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37"/>
        <w:gridCol w:w="2437"/>
        <w:gridCol w:w="2437"/>
        <w:gridCol w:w="2437"/>
      </w:tblGrid>
      <w:tr>
        <w:trPr>
          <w:tblHeader/>
        </w:trPr>
        <w:tc>
          <w:tcPr>
            <w:tcW w:type="dxa" w:w="259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Backbone Architecture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Embedding Dimension</w:t>
            </w:r>
          </w:p>
        </w:tc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Pretrained Weights</w:t>
            </w:r>
          </w:p>
        </w:tc>
        <w:tc>
          <w:tcPr>
            <w:tcW w:type="dxa" w:w="3269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Function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ResNet-18 Backbone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512-dim vector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ImageNet-1K V1</w:t>
            </w:r>
          </w:p>
        </w:tc>
        <w:tc>
          <w:tcPr>
            <w:tcW w:type="dxa" w:w="32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Fast episodic training sweeps, rapid prototyping, and controlled LOCO research.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ResNet-50 Backbone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2048-dim vector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ImageNet-1K Default</w:t>
            </w:r>
          </w:p>
        </w:tc>
        <w:tc>
          <w:tcPr>
            <w:tcW w:type="dxa" w:w="3269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High-capacity representation space for fine-grained multi-class open-set classification.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Unit Hyper-Sphere Normalization: All feature embeddings are L2-normalized: z_hat = f(x) / ||f(x)||_2. This stabilizes metric margins across distance computations and establishes exact equivalence between Euclidean distance and Cosine similarity: ||u_hat - v_hat||^2 = 2 - 2 * cos(u_hat, v_hat).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5. Meta-Learning Algorithms &amp; Formulations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MetaLearnHub implements four distinct meta-learning paradigms unified under a common MetaLearningAlgorithm interface: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5.1 Prototypical Networks (ProtoNet)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Reference: Snell et al. (NeurIPS 2017). Computes class prototypes c_k as the mean embedding of support samples S_k: c_k = (1 / |S_k|) * sum(f_theta(x_i)). Query classification is performed by computing Euclidean or Cosine distance d(f(x), c_k) and converting to probabilities via softmax over negative distances: P(y=k|x) = exp(-d(f(x), c_k)) / sum(exp(-d(f(x), c_j))).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5.2 Matching Networks (MatchingNet)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Reference: Vinyals et al. (NeurIPS 2016). Rather than averaging into a single centroid, Matching Networks compares the query against every individual support exemplar using an attention mechanism: a(x, x_i) = softmax(tau * cos(f(x), g(x_i))), where tau=16.0. Class probabilities represent the sum of attention weights belonging to class c, normalized by class shot counts.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5.3 Relation Networks (RelationNet)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Reference: Sung et al. (CVPR 2018). Replaces handcrafted distance metrics with a 4-layer learnable non-linear Relation Module R_phi in [0, 1]. Consumes a concatenated relation tensor [f(x) * c_k, |f(x) - c_k|] capturing cross-correlation and absolute differences. Trained via Mean Squared Error (MSE) against binary ground-truth match indicators.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5.4 Model-Agnostic Meta-Learning (MAML / FOMAML)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Reference: Finn et al. (ICML 2017). An optimization-based meta-learning algorithm. Adapts parameters directly on support examples via an inner optimization loop: theta' = theta - alpha * grad(Loss_S). In MetaLearnHub, the classification head initializes from support centroids, enabling convergence in 5 gradient steps in under 20 milliseconds.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5.5 Multi-Algorithm Ensemble Fusion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Combines all four paradigms via a weighted fusion model: P_ensemble = 0.35 * P_Proto + 0.30 * P_Matching + 0.20 * P_Relation + 0.15 * P_MAML.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6. Conventional Supervised Baseline Comparison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To establish empirical necessity, MetaLearnHub benchmarks against a conventional Supervised Linear Softmax classifier (ml/baselines/standard_classifier.py) trained from scratch on support features: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50"/>
        <w:gridCol w:w="3250"/>
        <w:gridCol w:w="3250"/>
      </w:tblGrid>
      <w:tr>
        <w:trPr>
          <w:tblHeader/>
        </w:trPr>
        <w:tc>
          <w:tcPr>
            <w:tcW w:type="dxa" w:w="259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Dimension</w:t>
            </w:r>
          </w:p>
        </w:tc>
        <w:tc>
          <w:tcPr>
            <w:tcW w:type="dxa" w:w="34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Conventional Supervised Classifier</w:t>
            </w:r>
          </w:p>
        </w:tc>
        <w:tc>
          <w:tcPr>
            <w:tcW w:type="dxa" w:w="3701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MetaLearnHub (Few-Shot Meta-Learning)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Data Efficiency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Requires 500+ images; severely overfits on K=5</w:t>
            </w:r>
          </w:p>
        </w:tc>
        <w:tc>
          <w:tcPr>
            <w:tcW w:type="dxa" w:w="3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Generalizes accurately from K=1 to 5 images.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Adaptation Mechanism</w:t>
            </w:r>
          </w:p>
        </w:tc>
        <w:tc>
          <w:tcPr>
            <w:tcW w:type="dxa" w:w="345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Full gradient backpropagation (30+ epochs)</w:t>
            </w:r>
          </w:p>
        </w:tc>
        <w:tc>
          <w:tcPr>
            <w:tcW w:type="dxa" w:w="3701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Instantaneous prototype centroid / fast inner-loop.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Adaptation Latency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1,500 to 5,000 ms</w:t>
            </w:r>
          </w:p>
        </w:tc>
        <w:tc>
          <w:tcPr>
            <w:tcW w:type="dxa" w:w="3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12 to 45 ms (100x faster).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Overfitting on 5 Shots</w:t>
            </w:r>
          </w:p>
        </w:tc>
        <w:tc>
          <w:tcPr>
            <w:tcW w:type="dxa" w:w="345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Train accuracy 100%, test accuracy &lt;35%</w:t>
            </w:r>
          </w:p>
        </w:tc>
        <w:tc>
          <w:tcPr>
            <w:tcW w:type="dxa" w:w="3701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Maintains 75% to 85% accuracy on unseen test queries.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Open-Set Handling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Closed-set: blindly predicts known class with 95%+ confidence</w:t>
            </w:r>
          </w:p>
        </w:tc>
        <w:tc>
          <w:tcPr>
            <w:tcW w:type="dxa" w:w="3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3-Gate Rejection: accurately flags unknown inputs.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Novel Class Addition</w:t>
            </w:r>
          </w:p>
        </w:tc>
        <w:tc>
          <w:tcPr>
            <w:tcW w:type="dxa" w:w="345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Requires full retraining of classification layers</w:t>
            </w:r>
          </w:p>
        </w:tc>
        <w:tc>
          <w:tcPr>
            <w:tcW w:type="dxa" w:w="3701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Zero retraining: dynamic prototype addition.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7. Episodic Training Pipeline &amp; Execution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Meta-training is orchestrated by MetaTrainer (ml/training/trainer.py):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Episode Sampling: </w:t>
      </w:r>
      <w:r>
        <w:rPr>
          <w:rFonts w:ascii="Calibri" w:hAnsi="Calibri"/>
          <w:color w:val="2D3748"/>
          <w:sz w:val="20"/>
        </w:rPr>
        <w:t>N classes are sampled at random per episode (e.g., N=4-way).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Support-Query Disjointness: </w:t>
      </w:r>
      <w:r>
        <w:rPr>
          <w:rFonts w:ascii="Calibri" w:hAnsi="Calibri"/>
          <w:color w:val="2D3748"/>
          <w:sz w:val="20"/>
        </w:rPr>
        <w:t>K support images and Q query images are sampled with guaranteed disjointness (S intersect Q = empty).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Optimization: </w:t>
      </w:r>
      <w:r>
        <w:rPr>
          <w:rFonts w:ascii="Calibri" w:hAnsi="Calibri"/>
          <w:color w:val="2D3748"/>
          <w:sz w:val="20"/>
        </w:rPr>
        <w:t>Loss is backpropagated through the Adam optimizer (lr=1e-3, weight_decay=1e-4) with StepLR decay.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Live Progress Streaming: </w:t>
      </w:r>
      <w:r>
        <w:rPr>
          <w:rFonts w:ascii="Calibri" w:hAnsi="Calibri"/>
          <w:color w:val="2D3748"/>
          <w:sz w:val="20"/>
        </w:rPr>
        <w:t>Thread-safe TrainingState tracks metrics and streams live progress via /api/training/status.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Model Checkpointing: </w:t>
      </w:r>
      <w:r>
        <w:rPr>
          <w:rFonts w:ascii="Calibri" w:hAnsi="Calibri"/>
          <w:color w:val="2D3748"/>
          <w:sz w:val="20"/>
        </w:rPr>
        <w:t>Checkpoints are automatically serialized to checkpoints/&lt;exp_id&gt;/best_model.pt on validation improvements.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8. Scientific Evaluation &amp; Statistical Rigor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FewShotEvaluator (ml/evaluation/evaluator.py) provides statistical rigor across multi-shot evaluation budgets: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Evaluated Shot Budgets: </w:t>
      </w:r>
      <w:r>
        <w:rPr>
          <w:rFonts w:ascii="Calibri" w:hAnsi="Calibri"/>
          <w:color w:val="2D3748"/>
          <w:sz w:val="20"/>
        </w:rPr>
        <w:t>1-shot, 3-shot, 5-shot, and 10-shot adaptation tested on strictly held-out classes.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Multi-Episode Sampling: </w:t>
      </w:r>
      <w:r>
        <w:rPr>
          <w:rFonts w:ascii="Calibri" w:hAnsi="Calibri"/>
          <w:color w:val="2D3748"/>
          <w:sz w:val="20"/>
        </w:rPr>
        <w:t>50 to 100 independent trials per shot condition to eliminate sampling bias.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Statistical Rigor: </w:t>
      </w:r>
      <w:r>
        <w:rPr>
          <w:rFonts w:ascii="Calibri" w:hAnsi="Calibri"/>
          <w:color w:val="2D3748"/>
          <w:sz w:val="20"/>
        </w:rPr>
        <w:t>Mean +/- Standard Deviation and 95% Confidence Intervals: CI = mean +/- 1.96 * (std / sqrt(N)).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Performance Metrics: </w:t>
      </w:r>
      <w:r>
        <w:rPr>
          <w:rFonts w:ascii="Calibri" w:hAnsi="Calibri"/>
          <w:color w:val="2D3748"/>
          <w:sz w:val="20"/>
        </w:rPr>
        <w:t>Top-1 Accuracy, Macro Precision, Recall, F1-Score, and full N x N Confusion Matrices.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9. Open-Set Recognition &amp; Dynamic Class Registry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FewShotPredictor (ml/inference/predictor.py) manages persistent storage (data/class_registry/) and open-set recognition: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Zero-Retraining Ingestion: </w:t>
      </w:r>
      <w:r>
        <w:rPr>
          <w:rFonts w:ascii="Calibri" w:hAnsi="Calibri"/>
          <w:color w:val="2D3748"/>
          <w:sz w:val="20"/>
        </w:rPr>
        <w:t>New categories are registered with 3-5 images in &lt;50 ms with zero neural network retraining.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Batch Coherence Audit: </w:t>
      </w:r>
      <w:r>
        <w:rPr>
          <w:rFonts w:ascii="Calibri" w:hAnsi="Calibri"/>
          <w:color w:val="2D3748"/>
          <w:sz w:val="20"/>
        </w:rPr>
        <w:t>Calculates pairwise cosine coherence (0-100%), flags visual outliers, and warns of cross-class collisions (&gt;85% similarity).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Continuous Refinement: </w:t>
      </w:r>
      <w:r>
        <w:rPr>
          <w:rFonts w:ascii="Calibri" w:hAnsi="Calibri"/>
          <w:color w:val="2D3748"/>
          <w:sz w:val="20"/>
        </w:rPr>
        <w:t>Adding images updates class prototypes via continuous running centroid refinement.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Gate 1 (Distance Gate): </w:t>
      </w:r>
      <w:r>
        <w:rPr>
          <w:rFonts w:ascii="Calibri" w:hAnsi="Calibri"/>
          <w:color w:val="2D3748"/>
          <w:sz w:val="20"/>
        </w:rPr>
        <w:t>Query distance must fall within dynamic radius r_k = max(mean + 1.25*std, 1.05*max_dist, floor).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Gate 2 (Margin Gate): </w:t>
      </w:r>
      <w:r>
        <w:rPr>
          <w:rFonts w:ascii="Calibri" w:hAnsi="Calibri"/>
          <w:color w:val="2D3748"/>
          <w:sz w:val="20"/>
        </w:rPr>
        <w:t>Closest candidate must separate from the second-closest competitor by a clear relative margin.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Gate 3 (Confidence Gate): </w:t>
      </w:r>
      <w:r>
        <w:rPr>
          <w:rFonts w:ascii="Calibri" w:hAnsi="Calibri"/>
          <w:color w:val="2D3748"/>
          <w:sz w:val="20"/>
        </w:rPr>
        <w:t>Softmax confidence must exceed 50%. Failsafe returns MATCH NOT FOUND (Out-of-Distribution).</w:t>
      </w: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10. Full-Stack Implementation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10.1 React 18 Single-Page Application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The frontend includes six interactive views: Dashboard (system health &amp; active models), Raw Data Audit (integrity &amp; pair checks), Meta-Training Console (live loss/accuracy graphs), Evaluation Lab (multi-shot benchmarking with 95% CI error bars), Register Class (coherence gauge &amp; outlier detector), and Find/Query Image (open-set verification &amp; multi-algorithm comparison).</w:t>
      </w:r>
    </w:p>
    <w:p>
      <w:pPr>
        <w:keepNext/>
        <w:spacing w:before="220" w:after="60"/>
      </w:pPr>
      <w:r>
        <w:rPr>
          <w:rFonts w:ascii="Calibri" w:hAnsi="Calibri"/>
          <w:b/>
          <w:color w:val="2B6CB0"/>
          <w:sz w:val="23"/>
        </w:rPr>
        <w:t>10.2 FastAPI REST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50"/>
        <w:gridCol w:w="3250"/>
        <w:gridCol w:w="3250"/>
      </w:tblGrid>
      <w:tr>
        <w:trPr>
          <w:tblHeader/>
        </w:trPr>
        <w:tc>
          <w:tcPr>
            <w:tcW w:type="dxa" w:w="172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316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4853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 &amp; Responsibilities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/api/status</w:t>
            </w:r>
          </w:p>
        </w:tc>
        <w:tc>
          <w:tcPr>
            <w:tcW w:type="dxa" w:w="485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System health, active compute hardware (CUDA/CPU), registered class count.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/api/dataset/inspect</w:t>
            </w:r>
          </w:p>
        </w:tc>
        <w:tc>
          <w:tcPr>
            <w:tcW w:type="dxa" w:w="4853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Full dataset audit, base/_c pair verification, corrupted file detection.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/api/training/start</w:t>
            </w:r>
          </w:p>
        </w:tc>
        <w:tc>
          <w:tcPr>
            <w:tcW w:type="dxa" w:w="485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Spawns background episodic meta-training worker thread.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/api/training/status</w:t>
            </w:r>
          </w:p>
        </w:tc>
        <w:tc>
          <w:tcPr>
            <w:tcW w:type="dxa" w:w="4853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Real-time polling endpoint for loss curves and validation metrics.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/api/evaluation/run</w:t>
            </w:r>
          </w:p>
        </w:tc>
        <w:tc>
          <w:tcPr>
            <w:tcW w:type="dxa" w:w="485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Executes multi-shot (1, 3, 5, 10-shot) LOCO evaluation on unseen classes.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/api/adaptation/create-class</w:t>
            </w:r>
          </w:p>
        </w:tc>
        <w:tc>
          <w:tcPr>
            <w:tcW w:type="dxa" w:w="4853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Registers a new category in data/class_registry/.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/api/adaptation/verify-batch</w:t>
            </w:r>
          </w:p>
        </w:tc>
        <w:tc>
          <w:tcPr>
            <w:tcW w:type="dxa" w:w="485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Pre-flight audit: calculates coherence %, flags outliers, detects collisions.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/api/adaptation/{id}/add-support</w:t>
            </w:r>
          </w:p>
        </w:tc>
        <w:tc>
          <w:tcPr>
            <w:tcW w:type="dxa" w:w="4853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Ingests support images and generates normalized prototype vector.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/api/prediction</w:t>
            </w:r>
          </w:p>
        </w:tc>
        <w:tc>
          <w:tcPr>
            <w:tcW w:type="dxa" w:w="485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Core inference route with 3-gate open-set rejection and multi-algorithm voting.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1A365D"/>
          <w:sz w:val="28"/>
        </w:rPr>
        <w:t>11. Execution Guide &amp; System Verification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0"/>
        </w:rPr>
        <w:t>Setup and launch commands: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Backend Setup: </w:t>
      </w:r>
      <w:r>
        <w:rPr>
          <w:rFonts w:ascii="Calibri" w:hAnsi="Calibri"/>
          <w:color w:val="2D3748"/>
          <w:sz w:val="20"/>
        </w:rPr>
        <w:t>pip install -r requirements.txt (Python backend dependencies)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Frontend Setup: </w:t>
      </w:r>
      <w:r>
        <w:rPr>
          <w:rFonts w:ascii="Calibri" w:hAnsi="Calibri"/>
          <w:color w:val="2D3748"/>
          <w:sz w:val="20"/>
        </w:rPr>
        <w:t>cd frontend &amp;&amp; npm install (React UI dependencies)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Full Launch: </w:t>
      </w:r>
      <w:r>
        <w:rPr>
          <w:rFonts w:ascii="Calibri" w:hAnsi="Calibri"/>
          <w:color w:val="2D3748"/>
          <w:sz w:val="20"/>
        </w:rPr>
        <w:t>run.bat (Launches FastAPI at port 8000 and React at port 5173 concurrently)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Headless CLI: </w:t>
      </w:r>
      <w:r>
        <w:rPr>
          <w:rFonts w:ascii="Calibri" w:hAnsi="Calibri"/>
          <w:color w:val="2D3748"/>
          <w:sz w:val="20"/>
        </w:rPr>
        <w:t>python run_few_shot_cli.py (Runs automated or interactive terminal few-shot tests)</w:t>
      </w:r>
    </w:p>
    <w:p>
      <w:pPr>
        <w:pStyle w:val="ListBullet"/>
        <w:spacing w:before="0" w:after="50" w:line="264" w:lineRule="auto"/>
      </w:pPr>
      <w:r>
        <w:rPr>
          <w:rFonts w:ascii="Calibri" w:hAnsi="Calibri"/>
          <w:b/>
          <w:color w:val="2D3748"/>
          <w:sz w:val="20"/>
        </w:rPr>
        <w:t xml:space="preserve">Class Seeding: </w:t>
      </w:r>
      <w:r>
        <w:rPr>
          <w:rFonts w:ascii="Calibri" w:hAnsi="Calibri"/>
          <w:color w:val="2D3748"/>
          <w:sz w:val="20"/>
        </w:rPr>
        <w:t>python init_base_classes.py (Seeds initial 10 animal classes into persistent registry)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MetaLearnHub: System Architecture &amp; Complete Technical Documentation | Group 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Government College of Engineering, Nagpur | Dept of CSE | MetaLearnHub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