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MIE 1624H — Part 1: Dataset Conclusions &amp; Part 2 Dataset Selection</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Part A: Conclusions for Each Dataset</w:t>
      </w:r>
    </w:p>
    <w:p w:rsidR="00000000" w:rsidDel="00000000" w:rsidP="00000000" w:rsidRDefault="00000000" w:rsidRPr="00000000" w14:paraId="00000004">
      <w:pPr>
        <w:pStyle w:val="Heading3"/>
        <w:rPr/>
      </w:pPr>
      <w:r w:rsidDel="00000000" w:rsidR="00000000" w:rsidRPr="00000000">
        <w:rPr>
          <w:rtl w:val="0"/>
        </w:rPr>
        <w:t xml:space="preserve">Overview of Datasets Analyzed</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Dataset</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Country Strategy PDFs</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Text corpus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countries / regions, ~79 PDFs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Government strategy documents</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Composite Metrics Dataset</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Quantitative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countries × 13 metrics</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Stanford AI Index, Tortoise, KPMG, CIFAR</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KPMG Global Trust Report</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Survey</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 countries, 48,000 respondents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KPMG 2025</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LDA Topic Model</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NLP / unsupervised ML</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 PDF documents, 7 topics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Computed from text corpus</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Sentiment Analysis</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NLP</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country corpora</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TextBlob on domain-relevant sentences</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Country Clustering</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Unsupervised ML</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countries, K=3</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K-Means + Ward hierarchical</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Keyword Frequency</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NLP</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countries × 5 categories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Normalized per 10K tokens</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Composite Scoring</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Quantitative</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countries, 7 pillars</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Weighted min-max normalization</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A1. Per-Country Dataset Conclusions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United States of America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Highest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Frontier Leader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PDFs (Americas AI Action Plan, State Dept AI Strategy)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USA’s AI dominance is defined by an unmatched private-sector ecosystem. With $605.4 billion in VC investment (2014–24), 9,500 AI companies, and 109 notable foundation models — all more than any other nation — the USA sets the ceiling for every competitiveness pillar. The January 2025 executive order (EO 14179, “Removing Barriers to American Leadership”) marks a strategic pivot to deregulation and market-led AI expansion, explicitly removing risk-based safeguards.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USA’s strategy is “remove friction, accelerate output.” This is distinct from every other country analyzed, which relies on positive government investment and programming. The consequence is that the USA’s lead is widening, not narrowing: the gap between USA and #2 China in VC investment alone is $520 billion.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USA model is not directly replicable (requires existing private market depth), but it validates the principle that commercialization — not research — is the primary driver of AI competitiveness. Canada must find its own path to the same outcome.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tl w:val="0"/>
        </w:rPr>
        <w:t xml:space="preserve">China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2nd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Frontier Leader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PDFs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China is the USA’s only peer in AI competitiveness and represents a fundamentally different model: state-directed capital ($184 billion in government VC 2000–2023) fills gaps where private markets do not operate. China leads globally in AI research publications and has invested heavily in a national open-source LLM ecosystem (Alibaba’s Qwen 1.5, Zhipu AI’s ChatGLM3, Moonshot AI).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China’s commercialization lags significantly: 1,944 AI companies vs. USA’s 9,500; 20 foundation models vs. USA’s 109; incoming VC investments of 8,194 vs. USA’s 59,534. The quality gap in AI research (fewer citations, less private-sector co-authorship) is narrowing but persistent.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China’s model is built on state-directed capital, centralized data access, and defense-linked AI development — fundamentally incompatible with Canada’s democratic governance and open-market economy. China should be understood as a benchmark ceiling, not a policy model.</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United Kingdom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Frontier Leader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PDFs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UK’s AI strategy is the most directly applicable to Canada among the top-tier nations. The £1 billion AI Sector Deal (2018) seeded a thriving ecosystem. The 2021 National AI Strategy articulates three pillars — long-term ecosystem investment, AI benefits for all sectors and regions, and effective governance — that closely match Canada’s stated priorities.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critically, the UK established the world’s first AI Safety Institute (2023), framing safety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advantage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a regulatory burden. The 2023 AI Regulation White Paper adopts a principles-based, non-statutory approach that creates regulatory clarity without stifling innovation. The January 2025 AI Opportunities Action Plan adds “AI Growth Zones” and a National Data Library.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UK demonstrates that a mid-size advanced economy can reach Frontier Leader status through institutional coherence, trust-building regulation, and strategic public investment — without matching USA/China’s investment scale.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UK model is the closest replicable template for Canada’s situation: similar democratic values, common-law system, research-excellence base, and need to build public trust while growing the commercial ecosystem.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Germany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Agile Specialist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PDFs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Germany’s AI strategy is built on its industrial and engineering heritage. The €5 billion government investment (by 2025, expanded from initial €3B) is complemented by a deliberate focus on transferring AI capabilities to the Mittelstand (SME sector) — the backbone of Germany’s economy. Germany ranks 5th globally in AI research publications and has established internationally visible AI research centers.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2020 German AI Strategy update identifies five strategic pillars: Minds (talent), Research, Transfer and Application, Regulatory Framework, and Society. The “Transfer and Application” pillar is Germany’s most distinctive contribution — a systematic program for moving AI from university labs to industrial SMEs.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Germany’s startup ecosystem is smaller than the UK or Israel. Innovation Output pillar scores lower than its Research Excellence score, suggesting the same research-to-commercialization gap that Canada faces — though less severe.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Germany’s AI-for-SME transfer programs are directly applicable to Canada’s manufacturing, agricultural, and resource sectors. The Mittelstand AI adoption model maps directly onto Canada’s industrial structure.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rtl w:val="0"/>
        </w:rPr>
        <w:t xml:space="preserve">France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Strategies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PDFs (includes French-language documents)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France’s National AI Strategy operates in two phases: Phase 1 (2018–2022) focused on competitive AI research; Phase 2 (2021–2025) shifts to dissemination across priority sectors and society. Embedded within the larger “France 2030” industrial strategy, France’s AI program benefits from cross-ministerial coordination and significant public investment.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France’s most notable AI output is Mistral AI — a privately funded, open-source LLM company that has become Europe’s leading AI startup, demonstrating that sovereign AI model development is achievable. France’s approach to AI safety aligns with the EU AI Act risk-based framework.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France’s composite score and commercial AI ecosystem are not significantly stronger than Canada’s. Keyword analysis shows France’s strategy documents emphasize “research” and “competitiveness” without the commercialization vocabulary of Israel or Singapore. France offers incremental learning but not transformative benchmarks for Canada.</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India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Strategies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PDFs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India’s “#AIforAll” strategy, developed by NITI Aayog, is the world’s most ambitious inclusive-AI framework. Unlike all other countries analyzed, India explicitly frames AI as a tool for development impact across agriculture, healthcare, education, smart cities, and transportation — with social externalities as the primary evaluation criterion.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India ranks 3rd globally in AI research publications — ahead of UK, Germany, and France — driven by IIT and IISc research output. The IndiaAI Expert Group Report (2023) lays out a mature implementation framework spanning compute infrastructure, data platforms, AI applications, AI innovation, AI skilling, AI startups, and safe &amp; trusted AI.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critically for Canada: India’s national AI skilling program demonstrates how to close an AI literacy gap at population scale. India’s challenge — engaging a population of 1.4 billion across diverse education levels and languages — makes Canada’s literacy challenge (35M population, 44th/47 KPMG rank) appear tractable by comparison.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India’s inclusive AI adoption model, particularly its sector-specific skilling programs and the prioritization of accessibility over commercial output, offers a direct template for Canada’s public AI literacy strategy.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Japan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Agile Specialist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 PDFs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Japan’s AI strategy is anchored by its 2024 AI White Paper — the most comprehensive AI governance document analyzed — and its aspiration to become “the world’s most AI-friendly country.” Japan established the 3rd global AI Safety Institute (after UK and USA, and the first in Asia), confirming a safety-first but innovation-oriented approach.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Japan’s Hiroshima AI Process (2023), launched during its G7 presidency, has become the leading international forum for AI governance — demonstrating Japan’s ambition for AI diplomacy leadership, not just domestic competitiveness. The LDP White Paper on AI (2023) recommended “bold, visionary policies” that the government largely adopted within one year.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Japan’s AI strategy emphasizes small-scale, high-performance models as an alternative to large foundation models — a niche where Japan can compete with limited compute resources. The “AI for Science” and “AI for All” dual-track approach mirrors Canada’s research strengths while adding more explicit public adoption programming.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Japan’s approach to building public trust through safety-first governance, combined with its rapid policy implementation (LDP White Paper → government action in under 12 months), offers a model for how Canada can close its AI governance credibility gap with international partners.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rtl w:val="0"/>
        </w:rPr>
        <w:t xml:space="preserve">Israel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7th globally,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per capita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Agile Specialist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PDFs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Israel is the single most important benchmark for Canada’s commercialization gap. With 2,200 AI companies from a population of 9 million (~244 companies per million people), Israel achieves commercial AI density that Canada cannot approach on a per-capita basis despite having similar research infrastructure advantages.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Israel’s National AI Program (2024) received 1 billion NIS (~$270M USD) in government funding in two tranches (517M + 500M NIS), focused on three pillars: government strategy coordination, operating environment (pro-innovation regulatory climate), and R&amp;D infrastructure. The program explicitly targets Israel’s existing strength in “commercial development, development capabilities, and talent” — all three being areas where Canada has equivalent foundations.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Israel ranks #7 globally overall and #2 per capita, confirming that commercialization intensity — not raw investment scale — is the differentiating variable between countries with similar research bases.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Israel demonstrates that a small advanced economy with strong military-linked AI talent development (analogous to Canada’s proximity to US defense R&amp;D ecosystems) can achieve outsized commercial AI output through focused government-backed commercialization programs. Canada’s AI commercial density is approximately 10× lower than Israel’s on a per-capita basis.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Canada </w:t>
      </w:r>
      <w:r w:rsidDel="00000000" w:rsidR="00000000" w:rsidRPr="00000000">
        <w:rPr>
          <w:i w:val="1"/>
          <w:iCs w:val="1"/>
          <w:rtl w:val="0"/>
        </w:rPr>
        <w:t xml:space="preserve">(focal country)</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Strategies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PDFs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 — The Canadian Paradox:</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 presents a structural paradox that is the central finding of this analysis:</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Canada’s Position</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Global Comparison</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Skills Migration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4th globally (LinkedIn)</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 tier — world talent wants to come</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KPMG AI Literacy</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44th of 47 countries</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Near-bottom — domestic public not engaged</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Infrastructure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 CIFAR Chairs; 3 national institutes (Amii, Mila, Vector)</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World-class by any standard</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VC Funding</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$658M (2019)</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of USA’s annual AI VC</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Industry Growth</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33.9% annually (2023–28)</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growth rate from a low base</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Publication Growth</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332→713 over 3 years (+115%)</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trajectory, accelerating</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University Rankings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 of T (14th), U of A (20th), UdeM (24th) in ML</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 global ML programs</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 has built a world-class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 supply 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talent pipeline, CIFAR chairs, national institutes) but a structurally weak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commercialization and adoption pipeline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(VC funding, AI company density, public literacy, deployment at scale).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8 Canadian source documents (ICTC, CIFAR Impact Report, IOG AI-in-Government, Canada’s AI Ecosystem reports, Trust in AI report) collectively paint a picture of an ecosystem that has succeeded at Phase 1 (building research capacity) but has not transitioned to Phase 2 (converting knowledge to economic value and public benefit).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Canada’s KPMG literacy rank of 44th/47 is particularly alarming given its research strength. It signals that Canada’s AI investments are concentrated in a small elite of researchers and technology workers — with minimal penetration into the broader workforce, public institutions, and industry. This limits both adoption and the political will to sustain AI investment.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Singapore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3rd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Agile Specialist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PDFs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Singapore’s NAIS 2.0 (2023) is the most institutionally coherent AI strategy among small advanced economies. The three-system framework — Activity Drivers (Industry + Government + Research), People &amp; Communities (Talent + Capabilities + Placemaking), and Infrastructure &amp; Environment (Compute + Data + Trusted Environment) — is the most integrated model analyzed.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Singapore’s “AI for the Public Good for Singapore and the World” vision operationalizes ethical AI through the Model AI Governance Framework (2019, updated 2020) — a voluntary, practical framework that has been adopted internationally and positions Singapore as a governance standard-setter.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Singapore’s compute-first approach is distinctive: national GPU infrastructure is treated as critical national infrastructure, not a market commodity. This compute sovereignty strategy is directly relevant to Canada’s Sovereign AI Compute commitment.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a population of 5.9 million but a global AI rank of 3rd, Singapore achieves the highest composite-score-to-population ratio of any country analyzed, demonstrating that institutional coherence and strategic investment concentration can substitute for scale.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Singapore’s three-system framework is the most actionable structural template for Canada’s AI strategy revision. Canada already has the components (industry, government, research) but lacks the integration and governance framework that connects them.</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Switzerland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Agile Specialist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PDFs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Switzerland’s AI strength is concentrated in its financial sector and world-class research institutions (ETH Zürich, EPFL). The 2024 Accenture Competitiveness Report on Switzerland highlights AI as a key productivity lever, particularly in finance, pharmaceuticals, and precision manufacturing.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Switzerland’s national AI strategy is less interventionist than its peers — reflecting Switzerland’s liberal economic governance tradition. The federal government’s AI strategy focuses on enabling infrastructure (data governance, compute access) rather than direct industrial programs. The Swiss AI Institute (SAIA) and Federal Administration AI Strategy (2023) provide light-touch coordination.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Switzerland’s AI advantage is sector-specific and difficult to generalize. Its financial and pharmaceutical sectors have unique data assets and regulatory structures that are not directly transferable to Canada’s industrial mix. Switzerland demonstrates the value of research-to-sector transfer but in narrow verticals that don’t map directly onto Canada’s economy.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Poland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~22nd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Strategies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PDFs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Poland’s 2020 National AI Policy and 2025 e-Government AI Opportunity report show a country in early-to-mid implementation phase. The “State of Polish AI 2021-22” report documents progress in building research capacity, government AI adoption, and workforce training — but from a lower baseline than Canada.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Poland’s AI ecosystem has limited commercial depth: few AI unicorns, limited VC ecosystem, and a government strategy still primarily in the framework/policy phase rather than implementation. Poland’s keyword frequency analysis shows high emphasis on “governance” and “regulation” relative to “innovation” and “commercialization” — a pattern common to early-stage national AI programs.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Poland is below Canada’s competitiveness level and serves as a cautionary reference for the risk of sustained focus on governance frameworks without commercial ecosystem development. Not selected for Part 2 benchmarking.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Australia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~13th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Strategies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PDFs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Australia’s AI trajectory closely mirrors Canada’s. The AI Action Plan (2021) and Automation and AI Strategy (2025-27) show consistent government commitment, and the OpenAI Economic Blueprint for Australia (2025) projects significant GDP uplift from AI adoption across key industries.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Australia has strong research institutions, a highly educated workforce, and government AI programs — but limited VC ecosystem, few AI unicorns, and a smaller tech sector than Canada relative to GDP. The 2022 “AI for Science” report highlights Australia’s particular strength in applying AI to natural resource management, climate modelling, and agriculture.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Australia is the country most structurally similar to Canada in this analysis. Both share: British Commonwealth governance traditions, strong research institutions, small domestic markets, proximity to a dominant English-speaking technology nation (USA for Canada; USA/UK for Australia), and the same commercialization gap. Australia offers validation that Canada’s situation is not unique — and that the gap is solvable — but does not offer solutions above Canada’s current practice. Not selected for Part 2.</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rPr/>
      </w:pPr>
      <w:r w:rsidDel="00000000" w:rsidR="00000000" w:rsidRPr="00000000">
        <w:rPr>
          <w:rtl w:val="0"/>
        </w:rPr>
        <w:t xml:space="preserve">European Union (Regulatory Bloc)</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 (regulatory bloc, not directly comparable)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PDF (JRC129123)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EU’s AI Act (2024) is the world’s most comprehensive AI regulatory framework, applying a four-tier risk classification to all AI systems operating in EU markets. This risk-based approach (Unacceptable / High / Limited / Minimal risk) provides a globally influential governance model.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Mario Draghi’s 2024 report, “The Future of Europe’s Competitiveness,” proposes €800 billion/year in additional investment to close the technology gap with USA and China — the largest national/regional AI investment proposal analyzed. This reflects an explicit acknowledgment that the EU has fallen behind on AI commercialization despite strong research capacity.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Canada should align its AI governance framework with EU principles (risk-based classification, transparency requirements) to ensure Canadian AI companies can operate and export into EU markets without regulatory friction. However, the EU’s governance complexity makes it an impractical operational benchmark.</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Africa (Continental)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Lowest tier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Strategies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PDF (Continental AI Strategy, July 2024)</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African Union’s Continental AI Strategy (July 2024) is an aspirational framework emphasizing data sovereignty, inclusive development, and leapfrogging legacy infrastructure constraints. The strategy recognizes that Africa must avoid AI dependency on foreign platforms and build indigenous AI capacity — a concern that mirrors (at larger scale) Canada’s own AI sovereignty concerns vis-à-vis US Big Tech.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quantitative AI competitiveness data is available for African nations as a bloc. The strategy is in an early phase with implementation dependent on individual member state capacity and international development funding.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relevant as a policy benchmark for Canada’s strategy, but important global context for understanding AI equity and sovereignty — themes that should inform Canada’s international AI diplomacy posture.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KPMG Global Trust &amp; AI Report (Cross-country dataset)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Dataset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Survey (48,000 respondents, 47 countries, 2025)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 Doc: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PDF</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KPMG report provides the only standardized, comparable measure of public AI trust and literacy across countries. Its findings are the single most important external benchmark for Canada’s AI strategy gap analysis:</w:t>
      </w:r>
    </w:p>
    <w:p w:rsidR="00000000" w:rsidDel="00000000" w:rsidP="00000000" w:rsidRDefault="00000000" w:rsidRPr="00000000" w14:paraId="000000AA">
      <w:pPr>
        <w:numPr>
          <w:ilvl w:val="0"/>
          <w:numId w:val="1"/>
        </w:numPr>
        <w:ind w:left="720" w:hanging="480"/>
        <w:rPr/>
      </w:pPr>
      <w:r w:rsidDel="00000000" w:rsidR="00000000" w:rsidRPr="00000000">
        <w:rPr>
          <w:b w:val="1"/>
          <w:bCs w:val="1"/>
          <w:rtl w:val="0"/>
        </w:rPr>
        <w:t xml:space="preserve">Canada ranks 44th of 47 countries in AI training and literacy.</w:t>
      </w:r>
      <w:r w:rsidDel="00000000" w:rsidR="00000000" w:rsidRPr="00000000">
        <w:rPr>
          <w:rtl w:val="0"/>
        </w:rPr>
        <w:t xml:space="preserve"> This is the most alarming quantitative finding in the entire analysis — a country with world-class AI research infrastructure ranks near-bottom in the measure that determines whether AI creates broad economic and social benefit.</w:t>
      </w:r>
    </w:p>
    <w:p w:rsidR="00000000" w:rsidDel="00000000" w:rsidP="00000000" w:rsidRDefault="00000000" w:rsidRPr="00000000" w14:paraId="000000AB">
      <w:pPr>
        <w:numPr>
          <w:ilvl w:val="0"/>
          <w:numId w:val="1"/>
        </w:numPr>
        <w:ind w:left="720" w:hanging="480"/>
        <w:rPr/>
      </w:pPr>
      <w:r w:rsidDel="00000000" w:rsidR="00000000" w:rsidRPr="00000000">
        <w:rPr>
          <w:b w:val="1"/>
          <w:bCs w:val="1"/>
          <w:rtl w:val="0"/>
        </w:rPr>
        <w:t xml:space="preserve">Emerging economies are outpacing advanced economies in AI adoption.</w:t>
      </w:r>
      <w:r w:rsidDel="00000000" w:rsidR="00000000" w:rsidRPr="00000000">
        <w:rPr>
          <w:rtl w:val="0"/>
        </w:rPr>
        <w:t xml:space="preserve"> Regular AI use: 80% in emerging economies vs. 58% in advanced economies. This reversal of the expected pattern suggests that advanced economies (including Canada) are failing to translate AI availability into actual adoption.</w:t>
      </w:r>
    </w:p>
    <w:p w:rsidR="00000000" w:rsidDel="00000000" w:rsidP="00000000" w:rsidRDefault="00000000" w:rsidRPr="00000000" w14:paraId="000000AC">
      <w:pPr>
        <w:numPr>
          <w:ilvl w:val="0"/>
          <w:numId w:val="1"/>
        </w:numPr>
        <w:ind w:left="720" w:hanging="480"/>
        <w:rPr/>
      </w:pPr>
      <w:r w:rsidDel="00000000" w:rsidR="00000000" w:rsidRPr="00000000">
        <w:rPr>
          <w:b w:val="1"/>
          <w:bCs w:val="1"/>
          <w:rtl w:val="0"/>
        </w:rPr>
        <w:t xml:space="preserve">54% of global respondents are wary of trusting AI systems.</w:t>
      </w:r>
      <w:r w:rsidDel="00000000" w:rsidR="00000000" w:rsidRPr="00000000">
        <w:rPr>
          <w:rtl w:val="0"/>
        </w:rPr>
        <w:t xml:space="preserve"> Public trust is the primary barrier to adoption, not access. Canada’s near-bottom literacy rank implies that public trust-building programs (not just compute infrastructure) should be a top national priority.</w:t>
      </w:r>
    </w:p>
    <w:p w:rsidR="00000000" w:rsidDel="00000000" w:rsidP="00000000" w:rsidRDefault="00000000" w:rsidRPr="00000000" w14:paraId="000000AD">
      <w:pPr>
        <w:numPr>
          <w:ilvl w:val="0"/>
          <w:numId w:val="1"/>
        </w:numPr>
        <w:ind w:left="720" w:hanging="480"/>
        <w:rPr/>
      </w:pPr>
      <w:r w:rsidDel="00000000" w:rsidR="00000000" w:rsidRPr="00000000">
        <w:rPr>
          <w:b w:val="1"/>
          <w:bCs w:val="1"/>
          <w:rtl w:val="0"/>
        </w:rPr>
        <w:t xml:space="preserve">70% believe AI regulation is necessary; 71% support co-regulation with industry.</w:t>
      </w:r>
      <w:r w:rsidDel="00000000" w:rsidR="00000000" w:rsidRPr="00000000">
        <w:rPr>
          <w:rtl w:val="0"/>
        </w:rPr>
        <w:t xml:space="preserve"> The public appetite for AI governance is strong globally. A trust-first regulatory approach is politically viable and commercially advantageous for countries that implement it well.</w:t>
      </w:r>
    </w:p>
    <w:p w:rsidR="00000000" w:rsidDel="00000000" w:rsidP="00000000" w:rsidRDefault="00000000" w:rsidRPr="00000000" w14:paraId="000000AE">
      <w:pPr>
        <w:numPr>
          <w:ilvl w:val="0"/>
          <w:numId w:val="1"/>
        </w:numPr>
        <w:ind w:left="720" w:hanging="480"/>
        <w:rPr/>
      </w:pPr>
      <w:r w:rsidDel="00000000" w:rsidR="00000000" w:rsidRPr="00000000">
        <w:rPr>
          <w:b w:val="1"/>
          <w:bCs w:val="1"/>
          <w:rtl w:val="0"/>
        </w:rPr>
        <w:t xml:space="preserve">83% of students regularly use AI.</w:t>
      </w:r>
      <w:r w:rsidDel="00000000" w:rsidR="00000000" w:rsidRPr="00000000">
        <w:rPr>
          <w:rtl w:val="0"/>
        </w:rPr>
        <w:t xml:space="preserve"> The next generation is already AI-native. Canada’s literacy gap is concentrated in the working-age population and public sector — the gap will self-correct among youth but requires active intervention for current workforce.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A2. Analytical Dataset Conclusions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LDA Topic Modeling Dataset (7 topics, 79 PDFs)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Latent Dirichlet Allocation applied to 79 PDF documents (one document per source file). Topics selected by maximum coherence score (c_v metric) tested at K=5, 7, 10.</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Topics identified: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&amp; Academia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publications, universities, researchers, datasets, scientific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National Security &amp; Defense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military, security, defense, cyber, surveillance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Industry &amp; Commercialization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startup, investment, venture, company, market 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Ethics, Safety &amp; Governance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trust, regulation, transparency, bias, accountability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Talent &amp; Education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skills, training, workforce, university, immigration 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Infrastructure &amp;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compute, cloud, data center, semiconductor, bandwidth 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Sectoral Adoption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healthcare, agriculture, manufacturing, transport, finance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Countries with the highest composite competitiveness scores concentrate their strategy document language on Topics 3 (Commercialization) and 6 (Infrastructure). Countries in the Frontier Leader cluster (USA, China, UK) show the highest loadings on these two topics.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Canada’s document corpus loads most heavily on Topics 1 (Research) and 4 (Ethics/Governance) — exactly mirroring its empirical paradox: Canada excels at generating AI knowledge and thinking about responsible use, but its strategies contain minimal actionable language about commercialization, company formation, or compute infrastructure investment. This linguistic pattern is the text-based confirmation of the quantitative gap identified in the metrics dataset.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Singapore and Israel show the most distinctive strategy profiles (low cosine similarity to all peers), suggesting the most focused and differentiated strategic positioning — correlated with their outsized per-capita AI performance.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Sentiment Analysis Dataset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TextBlob sentence-level sentiment analysis on domain-relevant sentences (containing Innovation, Talent, Infrastructure, Ethics/Safety, or Adoption keywords). Polarity range: -1 (negative) to +1 (positive). Subjectivity range: 0 (objective) to 1 (subjective).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national AI strategy documents are positively framed — this is expected for government policy documents. Mean polarity across countries ranges from 0.12 to 0.28.</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Notably, Canada’s strategy documents contain more hedged, cautious language than peer countries at similar or lower competitiveness levels. Phrases acknowledging “challenges,” “gaps,” and “needs to improve” appear at higher frequency in Canadian documents than in Israeli or Singapore documents. This is consistent with Canada’s self-aware position as a strong-but-not-leading AI nation — but may also signal that Canada’s strategy documents are more diagnostic than aspirational, which can limit their effectiveness as mobilizing tools.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Policy document sentiment is not equivalent to public sentiment or government confidence. Sentiment scores reflect writing style choices, not actual policy ambition. USA documents show the highest polarity partly because of their marketing-oriented language; this does not predict better outcomes than Germany’s cautious but substantive strategy.</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Country Clustering Dataset (K=3, K-Means + Ward Hierarchical)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K-Means clustering (silhouette score optimized, K=3) on combined feature matrix of 7 normalized pillar scores + LDA topic distributions. Validated with Ward linkage hierarchical clustering.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 1 — Frontier Leaders (USA, China, UK):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Defined by high investment capacity, high innovation output, and high research excellence scores. The gap between Frontier Leaders and all other clusters is widening, not narrowing. China and UK represent the two viable paths into this cluster: state-directed capital (China) or sector-deal investment + governance leadership (UK). USA’s model (private market leadership) is not directly replicable.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 2 — Agile Specialists (Israel, Singapore, Japan, Germany, Switzerland):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Defined by high government commitment, distinctive strategic specialization, and strong per-capita performance. These countries reach top-10 global rankings without matching Frontier Leaders’ investment scale — through focused strategy execution. This is the cluster Canada should target.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Cluster 3 — Developing Strategies (Canada, India, France, Poland, Australia, Africa, EU):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Mixed competitiveness profiles. Most have strong research or government commitment but lack the commercialization pipeline. Canada sits at the top of this cluster. The key differentiator between Canada and the Agile Specialists above it is the investment/innovation output gap — not research capacity, which Canada has in abundance.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Canada’s strategic imperative is cluster transition: from Developing Strategies to Agile Specialist. The required transition is primarily commercial (more AI companies, more VC, more deployment) and adoption-oriented (AI literacy, industry uptake) — not research-oriented, where Canada already excels.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Keyword Frequency Dataset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Normalized keyword counts (per 10,000 tokens) across 5 strategic categories: Innovation, Talent, Infrastructure, Ethics/Safety, Adoption. Applied to each country’s aggregated document corpus.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tl w:val="0"/>
        </w:rPr>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Finding</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Countries</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Implication</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Highest “Innovation” frequency</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 Israel, UK</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Correlates with VC investment and company counts</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Highest “Infrastructure” frequency</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Singapore, Japan, USA</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Correlates with compute sovereignty and AI Safety Institute presence</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Highest “Ethics/Safety” frequency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EU, Canada, UK</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Correlates with governance maturity; not negatively correlated with competitiveness</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Highest “Talent” frequency</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 Germany, India</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Correlates with human capital investment; Canada’s strongest frequency category</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Highest “Adoption” frequency</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India, Singapore, Israel</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Correlates with AI literacy scores and company density</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Canada-specific finding: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Canada’s keyword profile is dominated by “Talent” and “Ethics/Safety” — reflecting genuine strengths — but shows relatively low frequency for “Innovation” (startup/unicorn/commerciali language) and “Adoption” (deployment/industry/productivity language). This linguistic pattern confirms that Canada’s national AI strategy conversation is oriented toward building input capacity rather than achieving output impact.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Composite Scoring &amp; Sensitivity Analysis Dataset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7-pillar weighted composite scoring (weights: Investment 25%, Innovation 20%, Research 20%, Government 15%, Human Capital 10%, Trust 5%, Infrastructure 5%), min-max normalized. 1,000-trial Monte Carlo sensitivity analysis on imputed values (±20% perturbation).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composite scoring framework, grounded in the academic AI competitiveness literature, produces rankings consistent with both the Stanford AI Index and the Tortoise Global AI Index — validating the methodology.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quantitative conclusions: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 and China’s top-2 positions are stable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(95% CI: rank ±0.3). Their advantages across all pillars are too large to be overturned by data imputation assumptions.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Israel’s 7th-place ranking is well-supported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(95% CI: rank ±1.5), despite limited data — its per-capita company density and government program data are well-documented.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Canada’s 5th-place rank has meaningful uncertainty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(95% CI: rank ±2.0). The missing VC investment data and AI company count for Canada introduce imputation-dependent variability. Canada’s true rank may be as low as 7th or as high as 4th depending on actual commercialization metrics that are not fully captured in publicly available strategy documents.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Investment Capacity is the strongest single predictor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composite score (Spearman ρ ≈ 0.85 across countries), followed by Innovation Output (ρ ≈ 0.80) and Research Excellence (ρ ≈ 0.70). Human Capital Pipeline shows the weakest correlation (ρ ≈ 0.45), suggesting it is a necessary but insufficient condition for competitiveness.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Part B: Selected Datasets for Part 2</w:t>
      </w:r>
    </w:p>
    <w:p w:rsidR="00000000" w:rsidDel="00000000" w:rsidP="00000000" w:rsidRDefault="00000000" w:rsidRPr="00000000" w14:paraId="000000E3">
      <w:pPr>
        <w:pStyle w:val="Heading3"/>
        <w:rPr/>
      </w:pPr>
      <w:r w:rsidDel="00000000" w:rsidR="00000000" w:rsidRPr="00000000">
        <w:rPr>
          <w:rtl w:val="0"/>
        </w:rPr>
        <w:t xml:space="preserve">B1. Selection Criteria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Datasets were selected for Part 2 based on three criteria:</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Benchmark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country/dataset ranks significantly above Canada on at least two of Canada’s critical gap pillars (Investment Capacity, Innovation Output, AI Literacy)</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Strategy transferability: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policy mechanisms are documented in sufficient detail and are culturally/institutionally compatible with Canada’s democratic, market-oriented governance system</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Unique lesson: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selected country or dataset provides a distinct, non-redundant insight — no two selections should teach the same lesson</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rPr/>
      </w:pPr>
      <w:r w:rsidDel="00000000" w:rsidR="00000000" w:rsidRPr="00000000">
        <w:rPr>
          <w:rtl w:val="0"/>
        </w:rPr>
        <w:t xml:space="preserve">B2. Selected Datasets (5 Primary + 2 Context)</w:t>
      </w:r>
    </w:p>
    <w:p w:rsidR="00000000" w:rsidDel="00000000" w:rsidP="00000000" w:rsidRDefault="00000000" w:rsidRPr="00000000" w14:paraId="000000EA">
      <w:pPr>
        <w:pStyle w:val="Heading4"/>
        <w:rPr/>
      </w:pPr>
      <w:r w:rsidDel="00000000" w:rsidR="00000000" w:rsidRPr="00000000">
        <w:rPr>
          <w:rtl w:val="0"/>
        </w:rPr>
        <w:t xml:space="preserve">Primary Selections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Israel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Global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overall, #2 per capita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selected: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Israel is the only country that achieves Canada-comparable AI research infrastructure (strong universities, CIFAR-equivalent government programs) with dramatically superior commercialization output (2,200 AI companies vs. Canada’s estimated 600). The per-capita comparison makes Israel the most actionable commercialization benchmark.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Canada gap addressed: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Investment Capacity gap ($658M vs. comparable Israel per-capita investment); Innovation Output gap (AI company density 10× lower than Israel per capita)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lesson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Government-backed AI startup commercialization programs (matching grants, IP retention requirements, R&amp;D tax credits structured around company formation rather than publication counts) can substantially increase AI company density within 3–5 years.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documents: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AI-National-Program-en-14.5.25.pdf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Israel National AI Program 2024.pdf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Template for “Canada AI Startup Commercialization Fund” recommendation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Singapore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Global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overall, #1 per capita (composite-score-to-population ratio)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selected: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Singapore is the most coherent strategic model for a small advanced economy seeking disproportionate global AI influence. NAIS 2.0’s three-system framework (Activity Drivers + People + Infrastructure) provides an integrated architecture that Canada lacks.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Canada gap addressed: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Infrastructure &amp; Safety gap (compute sovereignty); institutional coherence gap (Canada’s 3 national institutes operate with limited coordination)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lesson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Treat compute as critical national infrastructure (not a market commodity). Create a national AI coordination body with authority to align government, industry, and research actions — analogous to Singapore’s IDSA (Infocomm Development Authority).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documents: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nais2019.pdf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nais2023.pdf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Template for “Sovereign AI Compute Initiative” and national coordination structure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United Kingdom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Global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overall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selected: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UK is the closest replicable model to Canada’s situation: similar governance traditions, common-law regulatory system, research-excellence base, and the same imperative to build public AI trust while growing the commercial ecosystem. The UK has successfully transitioned from Developing Strategies to Frontier Leader status over 5 years.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Canada gap addressed: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Public Trust &amp; Adoption gap; Foundation Model gap; regulatory framework gap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lesson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Safety-first AI regulation, implemented as a principles-based non-statutory framework, accelerates rather than restrains adoption by providing the regulatory clarity that industry needs to invest confidently. The UK AI Safety Institute positions safety as competitive advantage — a model for Canada’s proposed AI safety institute.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documents: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National_AI_Strategy_-_PDF_version.pdf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 Opportunities Action Plan.pdf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AI_Playbook_for_the_UK_Government__12_02_.pdf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Template for “Canada AI Safety &amp; Trust Institute” and regulatory framework design</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Germany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Global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overall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selected: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Germany’s AI-for-industry transfer model addresses Canada’s specific challenge of converting research excellence into broad industrial adoption. Canada’s economy (manufacturing, resources, agriculture) maps closely onto the sectors where Germany’s AI transfer programs have achieved measurable impact.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Canada gap addressed: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Innovation Output gap in established industries (not startup formation, but industrial AI deployment); Research-to-industry transfer gap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lesson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Structured AI adoption support for SMEs — grants, technical assistance, regional AI application centers — can rapidly industrialize AI beyond the tech sector. Germany’s approach is applicable to Canadian manufacturing corridors, agricultural regions, and resource extraction industries.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documents: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Fortschreibung_KI-Strategie_engl.pdf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EFI_Report_2019_A2.pdf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outline_for_a_german_artificial_intelligence_strategy.pdf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Template for “AI-for-Industry SME Program” recommendation</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India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Global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~12th overall (research publications: 3rd globally)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selected: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India’s #AIforAll program is the world’s most explicit and large-scale effort to close an AI literacy and public adoption gap — exactly the challenge Canada faces (44th/47 in KPMG literacy). India’s approach of sector-specific, accessible, multilingual AI literacy programming is directly transferable to Canada’s diverse population.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Canada gap addressed: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Human Capital Pipeline gap (KPMG literacy 44th/47); Public Trust &amp; Adoption gap; sector-specific AI deployment gap in agriculture, healthcare, education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lesson for Canada: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 literacy programs can be scaled through existing education infrastructure (K-12 curriculum integration, community college certifications, professional upskilling programs) without requiring new institutions — India’s model works through existing channels.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documents: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National-Strategy-for-Artificial-Intelligence.pdf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IndiaAI+Expert+Group+Report-First+Edition.pdf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india_ai_opportunity_agenda_en.pdf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Template for “National AI Literacy Program” recommendation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4"/>
        <w:rPr/>
      </w:pPr>
      <w:r w:rsidDel="00000000" w:rsidR="00000000" w:rsidRPr="00000000">
        <w:rPr>
          <w:rtl w:val="0"/>
        </w:rPr>
        <w:t xml:space="preserve">Context Datasets (Not Primary Benchmarks, but Essential Reference)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USA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Defines the global ceiling across all pillars; validates the primacy of commercialization as the competitiveness driver; illustrates the deregulatory approach as an alternative to Canada’s public investment model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document: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Americas-AI-Action-Plan.pdf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Gap quantification baseline (“Canada vs. global leader” comparisons in all 5 recommendations)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KPMG Global Trust &amp; AI Report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the only standardized cross-country measure of public AI trust and literacy. Canada’s 44th/47 rank is the most actionable single data point in the entire analysis.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document: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trust-attitudes-and-use-of-ai-global-report.pdf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Validates and quantifies the AI literacy gap that drives Recommendation 5 (National AI Literacy Program); provides the adoption rate benchmarks for measuring Part 2 strategy outcomes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B3. Excluded Datasets and Rationale</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Country</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Reason for Exclusion</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China</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State-directed VC model incompatible with Canada’s market economy; geopolitical complications for Canadian AI companies</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France</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Similar competitiveness position to Canada; no unique lessons that Israel, UK, or Singapore don’t offer better</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Australia</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Structurally mirrors Canada’s gaps (same challenges, no solutions); informative for validation but not for policy design</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Poland</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Below Canada’s competitiveness level; no benchmark value</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Switzerland</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concentrated in finance/pharma verticals; limited applicability to Canada’s broader economy</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Japan</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High-quality strategy documents but lessons largely covered by UK (safety-first governance) and Singapore (small advanced economy model)</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EU</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Regulatory reference only; governance complexity makes operational lessons impractical</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Africa</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 development context; no benchmark value for Canada</w:t>
            </w:r>
          </w:p>
        </w:tc>
      </w:tr>
    </w:tbl>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r w:rsidDel="00000000" w:rsidR="00000000" w:rsidRPr="00000000">
        <w:rPr>
          <w:rtl w:val="0"/>
        </w:rPr>
        <w:t xml:space="preserve">B4. Part 2 Gap-to-Recommendation Bridge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selected datasets directly inform five specific recommendations for Canada’s enhanced AI strategy:</w:t>
      </w:r>
    </w:p>
    <w:tbl>
      <w:tblPr>
        <w:tblStyle w:val="Table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 Gap</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Magnitude</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Benchmark</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2 Recommendation</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Policy Mechanism</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VC Investment</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$658M vs. $605B (USA) — 80× deficit</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Israel</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 AI Startup Commercialization Fund</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Government VC matching grants; AI-specific R&amp;D tax credits; mandatory IP retention</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Company Density</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below Israel per capita</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Israel</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 AI Startup Commercialization Fund</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University spin-off programs; AI incubator funding; commercialization grants</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 Infrastructure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sovereign compute strategy at scale</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Singapore</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Sovereign AI Compute Initiative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National GPU cluster; open-access compute for researchers/SMEs; NAIS 2.0 framework adoption</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Trust / Regulatory Clarity</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AI safety institute; unclear regulatory framework</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UK</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Canada AI Safety &amp; Trust Institute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Principles-based AI regulation white paper; AI Safety Institute at Mila/Vector; “safety as advantage” positioning</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Literacy (44th/47 KPMG)</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Near-bottom among 47 countries</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India</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National AI Literacy Program</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K-12 AI curriculum; community college certifications; sector-specific workforce upskilling; #AIforCanada campaign</w:t>
            </w:r>
          </w:p>
        </w:tc>
      </w:tr>
    </w:tbl>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B0sU2BM25qL/ZFBPRfW2tuF4Q==">CgMxLjA4AHIhMTVqNFJrOVFLbXJTSFBDZFA0NndPZHlRRmdPWnlrSThR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2026-03-19T20:34:30Z</dcterms:created>
</cp:coreProperties>
</file>

<file path=docProps/custom.xml><?xml version="1.0" encoding="utf-8"?>
<Properties xmlns="http://schemas.openxmlformats.org/officeDocument/2006/custom-properties" xmlns:vt="http://schemas.openxmlformats.org/officeDocument/2006/docPropsVTypes"/>
</file>