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237E"/>
          <w:sz w:val="32"/>
          <w:szCs w:val="32"/>
        </w:rPr>
        <w:t xml:space="preserve">Part 2 – Enhanced Proposal for Canada’s AI Strategy</w:t>
      </w:r>
    </w:p>
    <w:p>
      <w:pPr>
        <w:spacing w:after="200"/>
        <w:jc w:val="center"/>
      </w:pPr>
      <w:r>
        <w:rPr>
          <w:rFonts w:ascii="Arial" w:cs="Arial" w:eastAsia="Arial" w:hAnsi="Arial"/>
          <w:i/>
          <w:iCs/>
          <w:color w:val="E65100"/>
          <w:sz w:val="22"/>
          <w:szCs w:val="22"/>
        </w:rPr>
        <w:t xml:space="preserve">Canada AI Strategy 2.0: From Research Leader to AI Economy Leader</w:t>
      </w:r>
    </w:p>
    <w:p>
      <w:pPr>
        <w:pStyle w:val="Heading1"/>
      </w:pPr>
      <w:r>
        <w:t xml:space="preserve">2.1 Strategic Diagnosis of Canada’s AI Ecosystem</w:t>
      </w:r>
    </w:p>
    <w:p>
      <w:pPr>
        <w:spacing w:after="120"/>
      </w:pPr>
      <w:r>
        <w:rPr>
          <w:rFonts w:ascii="Arial" w:cs="Arial" w:eastAsia="Arial" w:hAnsi="Arial"/>
          <w:sz w:val="20"/>
          <w:szCs w:val="20"/>
        </w:rPr>
        <w:t xml:space="preserve">Based on the cross-country analysis conducted in Part 1, Canada occupies a paradoxical position in the global AI landscape. It ranks among the top countries globally in AI research capacity, talent attraction, and academic output, yet significantly underperforms in commercialization, industry adoption, and public AI literacy. This structural imbalance limits Canada’s ability to convert its knowledge advantage into economic growth and global competitiveness. Three core gaps define Canada’s current AI ecosystem:</w:t>
      </w:r>
    </w:p>
    <w:p>
      <w:pPr>
        <w:spacing w:after="120"/>
      </w:pPr>
      <w:r>
        <w:rPr>
          <w:rFonts w:ascii="Arial" w:cs="Arial" w:eastAsia="Arial" w:hAnsi="Arial"/>
          <w:b/>
          <w:bCs/>
          <w:sz w:val="20"/>
          <w:szCs w:val="20"/>
        </w:rPr>
        <w:t xml:space="preserve">1. Commercialization Gap. </w:t>
      </w:r>
      <w:r>
        <w:rPr>
          <w:rFonts w:ascii="Arial" w:cs="Arial" w:eastAsia="Arial" w:hAnsi="Arial"/>
          <w:sz w:val="20"/>
          <w:szCs w:val="20"/>
        </w:rPr>
        <w:t xml:space="preserve">Canada demonstrates strong research output but weak translation into market outcomes. Compared to leading countries such as the United States and Israel, Canada has significantly lower venture capital investment and AI company density. While Canada produces world-class research through institutions such as Mila, Vector Institute, and Amii, the pipeline from research to startup formation and scaling remains underdeveloped. As identified in Part 1, Canada’s AI company density is approximately 10 times lower than Israel on a per capita basis.</w:t>
      </w:r>
    </w:p>
    <w:p>
      <w:pPr>
        <w:spacing w:after="120"/>
      </w:pPr>
      <w:r>
        <w:rPr>
          <w:rFonts w:ascii="Arial" w:cs="Arial" w:eastAsia="Arial" w:hAnsi="Arial"/>
          <w:b/>
          <w:bCs/>
          <w:sz w:val="20"/>
          <w:szCs w:val="20"/>
        </w:rPr>
        <w:t xml:space="preserve">2. Adoption and AI Literacy Gap. </w:t>
      </w:r>
      <w:r>
        <w:rPr>
          <w:rFonts w:ascii="Arial" w:cs="Arial" w:eastAsia="Arial" w:hAnsi="Arial"/>
          <w:sz w:val="20"/>
          <w:szCs w:val="20"/>
        </w:rPr>
        <w:t xml:space="preserve">Despite strong talent inflow, Canada ranks 44th out of 47 countries in AI literacy according to the KPMG Global Trust &amp; AI Report. This indicates that AI usage is concentrated within a small group of specialists, while the broader workforce and public remain disengaged. Low literacy reduces both productivity gains and public trust, limiting large-scale adoption of AI technologies across sectors.</w:t>
      </w:r>
    </w:p>
    <w:p>
      <w:pPr>
        <w:spacing w:after="120"/>
      </w:pPr>
      <w:r>
        <w:rPr>
          <w:rFonts w:ascii="Arial" w:cs="Arial" w:eastAsia="Arial" w:hAnsi="Arial"/>
          <w:b/>
          <w:bCs/>
          <w:sz w:val="20"/>
          <w:szCs w:val="20"/>
        </w:rPr>
        <w:t xml:space="preserve">3. Infrastructure and Coordination Gap. </w:t>
      </w:r>
      <w:r>
        <w:rPr>
          <w:rFonts w:ascii="Arial" w:cs="Arial" w:eastAsia="Arial" w:hAnsi="Arial"/>
          <w:sz w:val="20"/>
          <w:szCs w:val="20"/>
        </w:rPr>
        <w:t xml:space="preserve">Canada lacks an integrated national AI infrastructure strategy. While investments exist, particularly in research institutions, they are fragmented and not aligned under a unified national system. Unlike countries such as Singapore, Canada does not treat AI compute as critical national infrastructure, and there is limited coordination across government, industry, and academia.</w:t>
      </w:r>
    </w:p>
    <w:p>
      <w:pPr>
        <w:pStyle w:val="Heading1"/>
      </w:pPr>
      <w:r>
        <w:t xml:space="preserve">2.2 Evaluation of Current Canadian AI Frameworks</w:t>
      </w:r>
    </w:p>
    <w:p>
      <w:pPr>
        <w:pStyle w:val="Heading2"/>
      </w:pPr>
      <w:r>
        <w:t xml:space="preserve">2.2.1 Canadian Sovereign AI Compute Strategy (2024)</w:t>
      </w:r>
    </w:p>
    <w:p>
      <w:pPr>
        <w:spacing w:after="120"/>
      </w:pPr>
      <w:r>
        <w:rPr>
          <w:rFonts w:ascii="Arial" w:cs="Arial" w:eastAsia="Arial" w:hAnsi="Arial"/>
          <w:sz w:val="20"/>
          <w:szCs w:val="20"/>
        </w:rPr>
        <w:t xml:space="preserve">Led by Innovation, Science and Economic Development Canada, this strategy represents a major federal commitment to strengthening Canada’s AI infrastructure through investments in compute capacity. It allocates approximately $2 billion to build sovereign compute infrastructure, mobilize private-sector data-centre investment, and fund an AI Compute Access Fund.</w:t>
      </w:r>
    </w:p>
    <w:p>
      <w:pPr>
        <w:spacing w:after="120"/>
      </w:pPr>
      <w:r>
        <w:rPr>
          <w:rFonts w:ascii="Arial" w:cs="Arial" w:eastAsia="Arial" w:hAnsi="Arial"/>
          <w:b/>
          <w:bCs/>
          <w:sz w:val="20"/>
          <w:szCs w:val="20"/>
        </w:rPr>
        <w:t xml:space="preserve">Strengths: </w:t>
      </w:r>
      <w:r>
        <w:rPr>
          <w:rFonts w:ascii="Arial" w:cs="Arial" w:eastAsia="Arial" w:hAnsi="Arial"/>
          <w:sz w:val="20"/>
          <w:szCs w:val="20"/>
        </w:rPr>
        <w:t xml:space="preserve">Recognizes AI compute as a strategic national asset; allocates significant funding to strengthen infrastructure; supports Canada’s research ecosystem and global competitiveness in AI development.</w:t>
      </w:r>
    </w:p>
    <w:p>
      <w:pPr>
        <w:spacing w:after="120"/>
      </w:pPr>
      <w:r>
        <w:rPr>
          <w:rFonts w:ascii="Arial" w:cs="Arial" w:eastAsia="Arial" w:hAnsi="Arial"/>
          <w:b/>
          <w:bCs/>
          <w:sz w:val="20"/>
          <w:szCs w:val="20"/>
        </w:rPr>
        <w:t xml:space="preserve">Limitations: </w:t>
      </w:r>
      <w:r>
        <w:rPr>
          <w:rFonts w:ascii="Arial" w:cs="Arial" w:eastAsia="Arial" w:hAnsi="Arial"/>
          <w:sz w:val="20"/>
          <w:szCs w:val="20"/>
        </w:rPr>
        <w:t xml:space="preserve">The strategy is primarily research-oriented, with limited provisions for commercial access. Startups and SMEs lack structured access to compute resources. There is no centralized governance model to coordinate infrastructure usage and limited linkage between compute investment and economic output.</w:t>
      </w:r>
    </w:p>
    <w:p>
      <w:pPr>
        <w:spacing w:after="120"/>
      </w:pPr>
      <w:r>
        <w:rPr>
          <w:rFonts w:ascii="Arial" w:cs="Arial" w:eastAsia="Arial" w:hAnsi="Arial"/>
          <w:b/>
          <w:bCs/>
          <w:sz w:val="20"/>
          <w:szCs w:val="20"/>
        </w:rPr>
        <w:t xml:space="preserve">Assessment: </w:t>
      </w:r>
      <w:r>
        <w:rPr>
          <w:rFonts w:ascii="Arial" w:cs="Arial" w:eastAsia="Arial" w:hAnsi="Arial"/>
          <w:sz w:val="20"/>
          <w:szCs w:val="20"/>
        </w:rPr>
        <w:t xml:space="preserve">While the strategy is directionally correct, it treats compute as scientific infrastructure rather than economic infrastructure, limiting its impact on commercialization and industry growth.</w:t>
      </w:r>
    </w:p>
    <w:p>
      <w:pPr>
        <w:pStyle w:val="Heading2"/>
      </w:pPr>
      <w:r>
        <w:t xml:space="preserve">2.2.2 AI Strategy for the Federal Public Service (2025–2027)</w:t>
      </w:r>
    </w:p>
    <w:p>
      <w:pPr>
        <w:spacing w:after="120"/>
      </w:pPr>
      <w:r>
        <w:rPr>
          <w:rFonts w:ascii="Arial" w:cs="Arial" w:eastAsia="Arial" w:hAnsi="Arial"/>
          <w:sz w:val="20"/>
          <w:szCs w:val="20"/>
        </w:rPr>
        <w:t xml:space="preserve">Developed by the Government of Canada, this strategy focuses on the responsible and ethical use of AI within public sector operations, organized around four priorities: central AI capacity, policy and governance, talent and training, and engagement and transparency.</w:t>
      </w:r>
    </w:p>
    <w:p>
      <w:pPr>
        <w:spacing w:after="120"/>
      </w:pPr>
      <w:r>
        <w:rPr>
          <w:rFonts w:ascii="Arial" w:cs="Arial" w:eastAsia="Arial" w:hAnsi="Arial"/>
          <w:b/>
          <w:bCs/>
          <w:sz w:val="20"/>
          <w:szCs w:val="20"/>
        </w:rPr>
        <w:t xml:space="preserve">Strengths: </w:t>
      </w:r>
      <w:r>
        <w:rPr>
          <w:rFonts w:ascii="Arial" w:cs="Arial" w:eastAsia="Arial" w:hAnsi="Arial"/>
          <w:sz w:val="20"/>
          <w:szCs w:val="20"/>
        </w:rPr>
        <w:t xml:space="preserve">Strong emphasis on responsible AI, ethics, and transparency; promotes trust in government AI applications; establishes governance frameworks for internal use.</w:t>
      </w:r>
    </w:p>
    <w:p>
      <w:pPr>
        <w:spacing w:after="120"/>
      </w:pPr>
      <w:r>
        <w:rPr>
          <w:rFonts w:ascii="Arial" w:cs="Arial" w:eastAsia="Arial" w:hAnsi="Arial"/>
          <w:b/>
          <w:bCs/>
          <w:sz w:val="20"/>
          <w:szCs w:val="20"/>
        </w:rPr>
        <w:t xml:space="preserve">Limitations: </w:t>
      </w:r>
      <w:r>
        <w:rPr>
          <w:rFonts w:ascii="Arial" w:cs="Arial" w:eastAsia="Arial" w:hAnsi="Arial"/>
          <w:sz w:val="20"/>
          <w:szCs w:val="20"/>
        </w:rPr>
        <w:t xml:space="preserve">Primarily inward-looking, focusing on government operations rather than national competitiveness. Limited impact on private-sector AI adoption and innovation. Lacks measurable economic or productivity outcomes and does not address commercialization or ecosystem growth.</w:t>
      </w:r>
    </w:p>
    <w:p>
      <w:pPr>
        <w:spacing w:after="120"/>
      </w:pPr>
      <w:r>
        <w:rPr>
          <w:rFonts w:ascii="Arial" w:cs="Arial" w:eastAsia="Arial" w:hAnsi="Arial"/>
          <w:b/>
          <w:bCs/>
          <w:sz w:val="20"/>
          <w:szCs w:val="20"/>
        </w:rPr>
        <w:t xml:space="preserve">Assessment: </w:t>
      </w:r>
      <w:r>
        <w:rPr>
          <w:rFonts w:ascii="Arial" w:cs="Arial" w:eastAsia="Arial" w:hAnsi="Arial"/>
          <w:sz w:val="20"/>
          <w:szCs w:val="20"/>
        </w:rPr>
        <w:t xml:space="preserve">The strategy successfully builds trust but does not contribute significantly to scaling Canada’s AI economy. It is necessary but insufficient for achieving global competitiveness.</w:t>
      </w:r>
    </w:p>
    <w:p>
      <w:pPr>
        <w:pStyle w:val="Heading1"/>
      </w:pPr>
      <w:r>
        <w:t xml:space="preserve">2.3 Proposed Enhanced AI Strategy: Canada AI Strategy 2.0</w:t>
      </w:r>
    </w:p>
    <w:p>
      <w:pPr>
        <w:spacing w:after="120"/>
      </w:pPr>
      <w:r>
        <w:rPr>
          <w:rFonts w:ascii="Arial" w:cs="Arial" w:eastAsia="Arial" w:hAnsi="Arial"/>
          <w:sz w:val="20"/>
          <w:szCs w:val="20"/>
        </w:rPr>
        <w:t xml:space="preserve">To address the identified gaps, this report proposes a revised national strategy structured around three integrated pillars, informed by international best practices identified in Part 1.</w:t>
      </w:r>
    </w:p>
    <w:p>
      <w:pPr>
        <w:pStyle w:val="Heading2"/>
      </w:pPr>
      <w:r>
        <w:t xml:space="preserve">Pillar 1: Commercialization and AI Industry Growth</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Transform Canada’s research advantage into a globally competitive AI industry.</w:t>
      </w:r>
    </w:p>
    <w:p>
      <w:pPr>
        <w:spacing w:after="120"/>
      </w:pPr>
      <w:r>
        <w:rPr>
          <w:rFonts w:ascii="Arial" w:cs="Arial" w:eastAsia="Arial" w:hAnsi="Arial"/>
          <w:b/>
          <w:bCs/>
          <w:sz w:val="20"/>
          <w:szCs w:val="20"/>
        </w:rPr>
        <w:t xml:space="preserve">Key Initiative – Canada AI Commercialization Fund. </w:t>
      </w:r>
      <w:r>
        <w:rPr>
          <w:rFonts w:ascii="Arial" w:cs="Arial" w:eastAsia="Arial" w:hAnsi="Arial"/>
          <w:sz w:val="20"/>
          <w:szCs w:val="20"/>
        </w:rPr>
        <w:t xml:space="preserve">Inspired by Israel’s model, this initiative would provide matching funding for venture capital investments in AI startups, support university spin-offs and commercialization pipelines, and offer AI-specific R&amp;D tax incentives tied to company formation and scaling.</w:t>
      </w:r>
    </w:p>
    <w:p>
      <w:pPr>
        <w:spacing w:after="120"/>
      </w:pPr>
      <w:r>
        <w:rPr>
          <w:rFonts w:ascii="Arial" w:cs="Arial" w:eastAsia="Arial" w:hAnsi="Arial"/>
          <w:b/>
          <w:bCs/>
          <w:sz w:val="20"/>
          <w:szCs w:val="20"/>
        </w:rPr>
        <w:t xml:space="preserve">Expected Outcomes: </w:t>
      </w:r>
      <w:r>
        <w:rPr>
          <w:rFonts w:ascii="Arial" w:cs="Arial" w:eastAsia="Arial" w:hAnsi="Arial"/>
          <w:sz w:val="20"/>
          <w:szCs w:val="20"/>
        </w:rPr>
        <w:t xml:space="preserve">Increased AI startup formation and survival rates; higher AI company density; strengthened domestic venture capital ecosystem.</w:t>
      </w:r>
    </w:p>
    <w:p>
      <w:pPr>
        <w:pStyle w:val="Heading2"/>
      </w:pPr>
      <w:r>
        <w:t xml:space="preserve">Pillar 2: Compute and Infrastructure Sovereignty</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Establish AI compute as critical national infrastructure accessible to all economic actors.</w:t>
      </w:r>
    </w:p>
    <w:p>
      <w:pPr>
        <w:spacing w:after="120"/>
      </w:pPr>
      <w:r>
        <w:rPr>
          <w:rFonts w:ascii="Arial" w:cs="Arial" w:eastAsia="Arial" w:hAnsi="Arial"/>
          <w:b/>
          <w:bCs/>
          <w:sz w:val="20"/>
          <w:szCs w:val="20"/>
        </w:rPr>
        <w:t xml:space="preserve">Key Initiative – National AI Compute Grid. </w:t>
      </w:r>
      <w:r>
        <w:rPr>
          <w:rFonts w:ascii="Arial" w:cs="Arial" w:eastAsia="Arial" w:hAnsi="Arial"/>
          <w:sz w:val="20"/>
          <w:szCs w:val="20"/>
        </w:rPr>
        <w:t xml:space="preserve">Inspired by Singapore’s strategy, this initiative would build a shared national GPU infrastructure, provide tiered access to startups, SMEs, and research institutions, and establish a central coordination body for resource allocation.</w:t>
      </w:r>
    </w:p>
    <w:p>
      <w:pPr>
        <w:spacing w:after="120"/>
      </w:pPr>
      <w:r>
        <w:rPr>
          <w:rFonts w:ascii="Arial" w:cs="Arial" w:eastAsia="Arial" w:hAnsi="Arial"/>
          <w:b/>
          <w:bCs/>
          <w:sz w:val="20"/>
          <w:szCs w:val="20"/>
        </w:rPr>
        <w:t xml:space="preserve">Expected Outcomes: </w:t>
      </w:r>
      <w:r>
        <w:rPr>
          <w:rFonts w:ascii="Arial" w:cs="Arial" w:eastAsia="Arial" w:hAnsi="Arial"/>
          <w:sz w:val="20"/>
          <w:szCs w:val="20"/>
        </w:rPr>
        <w:t xml:space="preserve">Reduced barriers to AI development and deployment; increased innovation capacity among SMEs; improved national coordination of AI infrastructure.</w:t>
      </w:r>
    </w:p>
    <w:p>
      <w:pPr>
        <w:pStyle w:val="Heading2"/>
      </w:pPr>
      <w:r>
        <w:t xml:space="preserve">Pillar 3: Adoption, Literacy, and Public Trust</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Expand AI adoption across society while building trust and workforce readiness.</w:t>
      </w:r>
    </w:p>
    <w:p>
      <w:pPr>
        <w:spacing w:after="120"/>
      </w:pPr>
      <w:r>
        <w:rPr>
          <w:rFonts w:ascii="Arial" w:cs="Arial" w:eastAsia="Arial" w:hAnsi="Arial"/>
          <w:b/>
          <w:bCs/>
          <w:sz w:val="20"/>
          <w:szCs w:val="20"/>
        </w:rPr>
        <w:t xml:space="preserve">Key Initiative – AI-for-Canada Program. </w:t>
      </w:r>
      <w:r>
        <w:rPr>
          <w:rFonts w:ascii="Arial" w:cs="Arial" w:eastAsia="Arial" w:hAnsi="Arial"/>
          <w:sz w:val="20"/>
          <w:szCs w:val="20"/>
        </w:rPr>
        <w:t xml:space="preserve">Inspired by India and the UK, this program would include integration of AI education into K–12 curricula, workforce reskilling through colleges and professional programs, SME adoption grants for AI implementation, and a national public awareness campaign (“AI for Canada”).</w:t>
      </w:r>
    </w:p>
    <w:p>
      <w:pPr>
        <w:spacing w:after="120"/>
      </w:pPr>
      <w:r>
        <w:rPr>
          <w:rFonts w:ascii="Arial" w:cs="Arial" w:eastAsia="Arial" w:hAnsi="Arial"/>
          <w:b/>
          <w:bCs/>
          <w:sz w:val="20"/>
          <w:szCs w:val="20"/>
        </w:rPr>
        <w:t xml:space="preserve">Expected Outcomes: </w:t>
      </w:r>
      <w:r>
        <w:rPr>
          <w:rFonts w:ascii="Arial" w:cs="Arial" w:eastAsia="Arial" w:hAnsi="Arial"/>
          <w:sz w:val="20"/>
          <w:szCs w:val="20"/>
        </w:rPr>
        <w:t xml:space="preserve">Improved AI literacy rankings; increased workforce productivity; stronger public trust and acceptance of AI technologies.</w:t>
      </w:r>
    </w:p>
    <w:p>
      <w:pPr>
        <w:pStyle w:val="Heading1"/>
      </w:pPr>
      <w:r>
        <w:t xml:space="preserve">2.4 Key Improvements Over Current Strategy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3726"/>
        <w:gridCol w:w="3726"/>
      </w:tblGrid>
      <w:tr>
        <w:tc>
          <w:tcPr>
            <w:tcW w:type="dxa" w:w="2484"/>
            <w:tcBorders>
              <w:top w:val="single" w:color="BDBDBD" w:sz="1"/>
              <w:left w:val="single" w:color="BDBDBD" w:sz="1"/>
              <w:bottom w:val="single" w:color="BDBDBD" w:sz="1"/>
              <w:right w:val="single" w:color="BDBDBD" w:sz="1"/>
            </w:tcBorders>
            <w:shd w:fill="1A237E" w:val="clear"/>
            <w:tcMar>
              <w:top w:type="dxa" w:w="50"/>
              <w:left w:type="dxa" w:w="80"/>
              <w:bottom w:type="dxa" w:w="50"/>
              <w:right w:type="dxa" w:w="80"/>
            </w:tcMar>
          </w:tcPr>
          <w:p>
            <w:pPr>
              <w:jc w:val="center"/>
            </w:pPr>
            <w:r>
              <w:rPr>
                <w:rFonts w:ascii="Arial" w:cs="Arial" w:eastAsia="Arial" w:hAnsi="Arial"/>
                <w:b/>
                <w:bCs/>
                <w:color w:val="FFFFFF"/>
                <w:sz w:val="18"/>
                <w:szCs w:val="18"/>
              </w:rPr>
              <w:t xml:space="preserve">Strategic Area</w:t>
            </w:r>
          </w:p>
        </w:tc>
        <w:tc>
          <w:tcPr>
            <w:tcW w:type="dxa" w:w="3726"/>
            <w:tcBorders>
              <w:top w:val="single" w:color="BDBDBD" w:sz="1"/>
              <w:left w:val="single" w:color="BDBDBD" w:sz="1"/>
              <w:bottom w:val="single" w:color="BDBDBD" w:sz="1"/>
              <w:right w:val="single" w:color="BDBDBD" w:sz="1"/>
            </w:tcBorders>
            <w:shd w:fill="1A237E" w:val="clear"/>
            <w:tcMar>
              <w:top w:type="dxa" w:w="50"/>
              <w:left w:type="dxa" w:w="80"/>
              <w:bottom w:type="dxa" w:w="50"/>
              <w:right w:type="dxa" w:w="80"/>
            </w:tcMar>
          </w:tcPr>
          <w:p>
            <w:pPr>
              <w:jc w:val="center"/>
            </w:pPr>
            <w:r>
              <w:rPr>
                <w:rFonts w:ascii="Arial" w:cs="Arial" w:eastAsia="Arial" w:hAnsi="Arial"/>
                <w:b/>
                <w:bCs/>
                <w:color w:val="FFFFFF"/>
                <w:sz w:val="18"/>
                <w:szCs w:val="18"/>
              </w:rPr>
              <w:t xml:space="preserve">Current Approach</w:t>
            </w:r>
          </w:p>
        </w:tc>
        <w:tc>
          <w:tcPr>
            <w:tcW w:type="dxa" w:w="3726"/>
            <w:tcBorders>
              <w:top w:val="single" w:color="BDBDBD" w:sz="1"/>
              <w:left w:val="single" w:color="BDBDBD" w:sz="1"/>
              <w:bottom w:val="single" w:color="BDBDBD" w:sz="1"/>
              <w:right w:val="single" w:color="BDBDBD" w:sz="1"/>
            </w:tcBorders>
            <w:shd w:fill="1A237E" w:val="clear"/>
            <w:tcMar>
              <w:top w:type="dxa" w:w="50"/>
              <w:left w:type="dxa" w:w="80"/>
              <w:bottom w:type="dxa" w:w="50"/>
              <w:right w:type="dxa" w:w="80"/>
            </w:tcMar>
          </w:tcPr>
          <w:p>
            <w:pPr>
              <w:jc w:val="center"/>
            </w:pPr>
            <w:r>
              <w:rPr>
                <w:rFonts w:ascii="Arial" w:cs="Arial" w:eastAsia="Arial" w:hAnsi="Arial"/>
                <w:b/>
                <w:bCs/>
                <w:color w:val="FFFFFF"/>
                <w:sz w:val="18"/>
                <w:szCs w:val="18"/>
              </w:rPr>
              <w:t xml:space="preserve">Proposed Enhancement</w:t>
            </w:r>
          </w:p>
        </w:tc>
      </w:tr>
      <w:tr>
        <w:tc>
          <w:tcPr>
            <w:tcW w:type="dxa" w:w="2484"/>
            <w:tcBorders>
              <w:top w:val="single" w:color="BDBDBD" w:sz="1"/>
              <w:left w:val="single" w:color="BDBDBD" w:sz="1"/>
              <w:bottom w:val="single" w:color="BDBDBD" w:sz="1"/>
              <w:right w:val="single" w:color="BDBDBD" w:sz="1"/>
            </w:tcBorders>
            <w:tcMar>
              <w:top w:type="dxa" w:w="50"/>
              <w:left w:type="dxa" w:w="80"/>
              <w:bottom w:type="dxa" w:w="50"/>
              <w:right w:type="dxa" w:w="80"/>
            </w:tcMar>
          </w:tcPr>
          <w:p>
            <w:r>
              <w:rPr>
                <w:rFonts w:ascii="Arial" w:cs="Arial" w:eastAsia="Arial" w:hAnsi="Arial"/>
                <w:b/>
                <w:bCs/>
                <w:sz w:val="18"/>
                <w:szCs w:val="18"/>
              </w:rPr>
              <w:t xml:space="preserve">Commercialization</w:t>
            </w:r>
          </w:p>
        </w:tc>
        <w:tc>
          <w:tcPr>
            <w:tcW w:type="dxa" w:w="3726"/>
            <w:tcBorders>
              <w:top w:val="single" w:color="BDBDBD" w:sz="1"/>
              <w:left w:val="single" w:color="BDBDBD" w:sz="1"/>
              <w:bottom w:val="single" w:color="BDBDBD" w:sz="1"/>
              <w:right w:val="single" w:color="BDBDBD" w:sz="1"/>
            </w:tcBorders>
            <w:tcMar>
              <w:top w:type="dxa" w:w="50"/>
              <w:left w:type="dxa" w:w="80"/>
              <w:bottom w:type="dxa" w:w="50"/>
              <w:right w:type="dxa" w:w="80"/>
            </w:tcMar>
          </w:tcPr>
          <w:p>
            <w:r>
              <w:rPr>
                <w:rFonts w:ascii="Arial" w:cs="Arial" w:eastAsia="Arial" w:hAnsi="Arial"/>
                <w:sz w:val="18"/>
                <w:szCs w:val="18"/>
              </w:rPr>
              <w:t xml:space="preserve">Limited support for AI startup formation</w:t>
            </w:r>
          </w:p>
        </w:tc>
        <w:tc>
          <w:tcPr>
            <w:tcW w:type="dxa" w:w="3726"/>
            <w:tcBorders>
              <w:top w:val="single" w:color="BDBDBD" w:sz="1"/>
              <w:left w:val="single" w:color="BDBDBD" w:sz="1"/>
              <w:bottom w:val="single" w:color="BDBDBD" w:sz="1"/>
              <w:right w:val="single" w:color="BDBDBD" w:sz="1"/>
            </w:tcBorders>
            <w:tcMar>
              <w:top w:type="dxa" w:w="50"/>
              <w:left w:type="dxa" w:w="80"/>
              <w:bottom w:type="dxa" w:w="50"/>
              <w:right w:type="dxa" w:w="80"/>
            </w:tcMar>
          </w:tcPr>
          <w:p>
            <w:r>
              <w:rPr>
                <w:rFonts w:ascii="Arial" w:cs="Arial" w:eastAsia="Arial" w:hAnsi="Arial"/>
                <w:sz w:val="18"/>
                <w:szCs w:val="18"/>
              </w:rPr>
              <w:t xml:space="preserve">Dedicated national commercialization fund with matching grants and AI-specific tax incentives</w:t>
            </w:r>
          </w:p>
        </w:tc>
      </w:tr>
      <w:tr>
        <w:tc>
          <w:tcPr>
            <w:tcW w:type="dxa" w:w="2484"/>
            <w:tcBorders>
              <w:top w:val="single" w:color="BDBDBD" w:sz="1"/>
              <w:left w:val="single" w:color="BDBDBD" w:sz="1"/>
              <w:bottom w:val="single" w:color="BDBDBD" w:sz="1"/>
              <w:right w:val="single" w:color="BDBDBD" w:sz="1"/>
            </w:tcBorders>
            <w:shd w:fill="E8EAF6" w:val="clear"/>
            <w:tcMar>
              <w:top w:type="dxa" w:w="50"/>
              <w:left w:type="dxa" w:w="80"/>
              <w:bottom w:type="dxa" w:w="50"/>
              <w:right w:type="dxa" w:w="80"/>
            </w:tcMar>
          </w:tcPr>
          <w:p>
            <w:r>
              <w:rPr>
                <w:rFonts w:ascii="Arial" w:cs="Arial" w:eastAsia="Arial" w:hAnsi="Arial"/>
                <w:b/>
                <w:bCs/>
                <w:sz w:val="18"/>
                <w:szCs w:val="18"/>
              </w:rPr>
              <w:t xml:space="preserve">Compute Infrastructure</w:t>
            </w:r>
          </w:p>
        </w:tc>
        <w:tc>
          <w:tcPr>
            <w:tcW w:type="dxa" w:w="3726"/>
            <w:tcBorders>
              <w:top w:val="single" w:color="BDBDBD" w:sz="1"/>
              <w:left w:val="single" w:color="BDBDBD" w:sz="1"/>
              <w:bottom w:val="single" w:color="BDBDBD" w:sz="1"/>
              <w:right w:val="single" w:color="BDBDBD" w:sz="1"/>
            </w:tcBorders>
            <w:shd w:fill="E8EAF6" w:val="clear"/>
            <w:tcMar>
              <w:top w:type="dxa" w:w="50"/>
              <w:left w:type="dxa" w:w="80"/>
              <w:bottom w:type="dxa" w:w="50"/>
              <w:right w:type="dxa" w:w="80"/>
            </w:tcMar>
          </w:tcPr>
          <w:p>
            <w:r>
              <w:rPr>
                <w:rFonts w:ascii="Arial" w:cs="Arial" w:eastAsia="Arial" w:hAnsi="Arial"/>
                <w:sz w:val="18"/>
                <w:szCs w:val="18"/>
              </w:rPr>
              <w:t xml:space="preserve">Research-focused; no structured SME access</w:t>
            </w:r>
          </w:p>
        </w:tc>
        <w:tc>
          <w:tcPr>
            <w:tcW w:type="dxa" w:w="3726"/>
            <w:tcBorders>
              <w:top w:val="single" w:color="BDBDBD" w:sz="1"/>
              <w:left w:val="single" w:color="BDBDBD" w:sz="1"/>
              <w:bottom w:val="single" w:color="BDBDBD" w:sz="1"/>
              <w:right w:val="single" w:color="BDBDBD" w:sz="1"/>
            </w:tcBorders>
            <w:shd w:fill="E8EAF6" w:val="clear"/>
            <w:tcMar>
              <w:top w:type="dxa" w:w="50"/>
              <w:left w:type="dxa" w:w="80"/>
              <w:bottom w:type="dxa" w:w="50"/>
              <w:right w:type="dxa" w:w="80"/>
            </w:tcMar>
          </w:tcPr>
          <w:p>
            <w:r>
              <w:rPr>
                <w:rFonts w:ascii="Arial" w:cs="Arial" w:eastAsia="Arial" w:hAnsi="Arial"/>
                <w:sz w:val="18"/>
                <w:szCs w:val="18"/>
              </w:rPr>
              <w:t xml:space="preserve">Economy-wide shared GPU infrastructure with tiered pricing for startups, SMEs, and enterprises</w:t>
            </w:r>
          </w:p>
        </w:tc>
      </w:tr>
      <w:tr>
        <w:tc>
          <w:tcPr>
            <w:tcW w:type="dxa" w:w="2484"/>
            <w:tcBorders>
              <w:top w:val="single" w:color="BDBDBD" w:sz="1"/>
              <w:left w:val="single" w:color="BDBDBD" w:sz="1"/>
              <w:bottom w:val="single" w:color="BDBDBD" w:sz="1"/>
              <w:right w:val="single" w:color="BDBDBD" w:sz="1"/>
            </w:tcBorders>
            <w:tcMar>
              <w:top w:type="dxa" w:w="50"/>
              <w:left w:type="dxa" w:w="80"/>
              <w:bottom w:type="dxa" w:w="50"/>
              <w:right w:type="dxa" w:w="80"/>
            </w:tcMar>
          </w:tcPr>
          <w:p>
            <w:r>
              <w:rPr>
                <w:rFonts w:ascii="Arial" w:cs="Arial" w:eastAsia="Arial" w:hAnsi="Arial"/>
                <w:b/>
                <w:bCs/>
                <w:sz w:val="18"/>
                <w:szCs w:val="18"/>
              </w:rPr>
              <w:t xml:space="preserve">Governance</w:t>
            </w:r>
          </w:p>
        </w:tc>
        <w:tc>
          <w:tcPr>
            <w:tcW w:type="dxa" w:w="3726"/>
            <w:tcBorders>
              <w:top w:val="single" w:color="BDBDBD" w:sz="1"/>
              <w:left w:val="single" w:color="BDBDBD" w:sz="1"/>
              <w:bottom w:val="single" w:color="BDBDBD" w:sz="1"/>
              <w:right w:val="single" w:color="BDBDBD" w:sz="1"/>
            </w:tcBorders>
            <w:tcMar>
              <w:top w:type="dxa" w:w="50"/>
              <w:left w:type="dxa" w:w="80"/>
              <w:bottom w:type="dxa" w:w="50"/>
              <w:right w:type="dxa" w:w="80"/>
            </w:tcMar>
          </w:tcPr>
          <w:p>
            <w:r>
              <w:rPr>
                <w:rFonts w:ascii="Arial" w:cs="Arial" w:eastAsia="Arial" w:hAnsi="Arial"/>
                <w:sz w:val="18"/>
                <w:szCs w:val="18"/>
              </w:rPr>
              <w:t xml:space="preserve">Public sector focused; fragmented coordination</w:t>
            </w:r>
          </w:p>
        </w:tc>
        <w:tc>
          <w:tcPr>
            <w:tcW w:type="dxa" w:w="3726"/>
            <w:tcBorders>
              <w:top w:val="single" w:color="BDBDBD" w:sz="1"/>
              <w:left w:val="single" w:color="BDBDBD" w:sz="1"/>
              <w:bottom w:val="single" w:color="BDBDBD" w:sz="1"/>
              <w:right w:val="single" w:color="BDBDBD" w:sz="1"/>
            </w:tcBorders>
            <w:tcMar>
              <w:top w:type="dxa" w:w="50"/>
              <w:left w:type="dxa" w:w="80"/>
              <w:bottom w:type="dxa" w:w="50"/>
              <w:right w:type="dxa" w:w="80"/>
            </w:tcMar>
          </w:tcPr>
          <w:p>
            <w:r>
              <w:rPr>
                <w:rFonts w:ascii="Arial" w:cs="Arial" w:eastAsia="Arial" w:hAnsi="Arial"/>
                <w:sz w:val="18"/>
                <w:szCs w:val="18"/>
              </w:rPr>
              <w:t xml:space="preserve">Integrated national coordination body linking compute, talent, and commercialization</w:t>
            </w:r>
          </w:p>
        </w:tc>
      </w:tr>
      <w:tr>
        <w:tc>
          <w:tcPr>
            <w:tcW w:type="dxa" w:w="2484"/>
            <w:tcBorders>
              <w:top w:val="single" w:color="BDBDBD" w:sz="1"/>
              <w:left w:val="single" w:color="BDBDBD" w:sz="1"/>
              <w:bottom w:val="single" w:color="BDBDBD" w:sz="1"/>
              <w:right w:val="single" w:color="BDBDBD" w:sz="1"/>
            </w:tcBorders>
            <w:shd w:fill="E8EAF6" w:val="clear"/>
            <w:tcMar>
              <w:top w:type="dxa" w:w="50"/>
              <w:left w:type="dxa" w:w="80"/>
              <w:bottom w:type="dxa" w:w="50"/>
              <w:right w:type="dxa" w:w="80"/>
            </w:tcMar>
          </w:tcPr>
          <w:p>
            <w:r>
              <w:rPr>
                <w:rFonts w:ascii="Arial" w:cs="Arial" w:eastAsia="Arial" w:hAnsi="Arial"/>
                <w:b/>
                <w:bCs/>
                <w:sz w:val="18"/>
                <w:szCs w:val="18"/>
              </w:rPr>
              <w:t xml:space="preserve">Adoption &amp; Literacy</w:t>
            </w:r>
          </w:p>
        </w:tc>
        <w:tc>
          <w:tcPr>
            <w:tcW w:type="dxa" w:w="3726"/>
            <w:tcBorders>
              <w:top w:val="single" w:color="BDBDBD" w:sz="1"/>
              <w:left w:val="single" w:color="BDBDBD" w:sz="1"/>
              <w:bottom w:val="single" w:color="BDBDBD" w:sz="1"/>
              <w:right w:val="single" w:color="BDBDBD" w:sz="1"/>
            </w:tcBorders>
            <w:shd w:fill="E8EAF6" w:val="clear"/>
            <w:tcMar>
              <w:top w:type="dxa" w:w="50"/>
              <w:left w:type="dxa" w:w="80"/>
              <w:bottom w:type="dxa" w:w="50"/>
              <w:right w:type="dxa" w:w="80"/>
            </w:tcMar>
          </w:tcPr>
          <w:p>
            <w:r>
              <w:rPr>
                <w:rFonts w:ascii="Arial" w:cs="Arial" w:eastAsia="Arial" w:hAnsi="Arial"/>
                <w:sz w:val="18"/>
                <w:szCs w:val="18"/>
              </w:rPr>
              <w:t xml:space="preserve">Minimal; 44th/47 in KPMG AI literacy</w:t>
            </w:r>
          </w:p>
        </w:tc>
        <w:tc>
          <w:tcPr>
            <w:tcW w:type="dxa" w:w="3726"/>
            <w:tcBorders>
              <w:top w:val="single" w:color="BDBDBD" w:sz="1"/>
              <w:left w:val="single" w:color="BDBDBD" w:sz="1"/>
              <w:bottom w:val="single" w:color="BDBDBD" w:sz="1"/>
              <w:right w:val="single" w:color="BDBDBD" w:sz="1"/>
            </w:tcBorders>
            <w:shd w:fill="E8EAF6" w:val="clear"/>
            <w:tcMar>
              <w:top w:type="dxa" w:w="50"/>
              <w:left w:type="dxa" w:w="80"/>
              <w:bottom w:type="dxa" w:w="50"/>
              <w:right w:type="dxa" w:w="80"/>
            </w:tcMar>
          </w:tcPr>
          <w:p>
            <w:r>
              <w:rPr>
                <w:rFonts w:ascii="Arial" w:cs="Arial" w:eastAsia="Arial" w:hAnsi="Arial"/>
                <w:sz w:val="18"/>
                <w:szCs w:val="18"/>
              </w:rPr>
              <w:t xml:space="preserve">Nationwide K–12 curriculum, workforce reskilling, SME grants, and public awareness campaign</w:t>
            </w:r>
          </w:p>
        </w:tc>
      </w:tr>
    </w:tbl>
    <w:p>
      <w:pPr>
        <w:pStyle w:val="Heading1"/>
        <w:spacing w:before="240"/>
      </w:pPr>
      <w:r>
        <w:t xml:space="preserve">2.5 Expected Impact and Strategic Positioning</w:t>
      </w:r>
    </w:p>
    <w:p>
      <w:pPr>
        <w:spacing w:after="120"/>
      </w:pPr>
      <w:r>
        <w:rPr>
          <w:rFonts w:ascii="Arial" w:cs="Arial" w:eastAsia="Arial" w:hAnsi="Arial"/>
          <w:sz w:val="20"/>
          <w:szCs w:val="20"/>
        </w:rPr>
        <w:t xml:space="preserve">The implementation of Canada AI Strategy 2.0 is expected to reposition Canada from a “Developing Strategy” cluster to an “Agile Specialist” cluster, as defined in Part 1’s K-Means clustering analysis. Key projected outcomes include:</w:t>
      </w:r>
    </w:p>
    <w:p>
      <w:pPr>
        <w:pStyle w:val="ListParagraph"/>
        <w:numPr>
          <w:ilvl w:val="0"/>
          <w:numId w:val="2"/>
        </w:numPr>
        <w:spacing w:after="40"/>
      </w:pPr>
      <w:r>
        <w:rPr>
          <w:rFonts w:ascii="Arial" w:cs="Arial" w:eastAsia="Arial" w:hAnsi="Arial"/>
          <w:b/>
          <w:bCs/>
          <w:sz w:val="20"/>
          <w:szCs w:val="20"/>
        </w:rPr>
        <w:t xml:space="preserve">Increased AI venture capital investment </w:t>
      </w:r>
      <w:r>
        <w:rPr>
          <w:rFonts w:ascii="Arial" w:cs="Arial" w:eastAsia="Arial" w:hAnsi="Arial"/>
          <w:sz w:val="20"/>
          <w:szCs w:val="20"/>
        </w:rPr>
        <w:t xml:space="preserve">through the Commercialization Fund and improved startup ecosystem.</w:t>
      </w:r>
    </w:p>
    <w:p>
      <w:pPr>
        <w:pStyle w:val="ListParagraph"/>
        <w:numPr>
          <w:ilvl w:val="0"/>
          <w:numId w:val="2"/>
        </w:numPr>
        <w:spacing w:after="40"/>
      </w:pPr>
      <w:r>
        <w:rPr>
          <w:rFonts w:ascii="Arial" w:cs="Arial" w:eastAsia="Arial" w:hAnsi="Arial"/>
          <w:b/>
          <w:bCs/>
          <w:sz w:val="20"/>
          <w:szCs w:val="20"/>
        </w:rPr>
        <w:t xml:space="preserve">Growth in AI startup density, </w:t>
      </w:r>
      <w:r>
        <w:rPr>
          <w:rFonts w:ascii="Arial" w:cs="Arial" w:eastAsia="Arial" w:hAnsi="Arial"/>
          <w:sz w:val="20"/>
          <w:szCs w:val="20"/>
        </w:rPr>
        <w:t xml:space="preserve">targeting a threefold increase in AI companies per capita within five years.</w:t>
      </w:r>
    </w:p>
    <w:p>
      <w:pPr>
        <w:pStyle w:val="ListParagraph"/>
        <w:numPr>
          <w:ilvl w:val="0"/>
          <w:numId w:val="2"/>
        </w:numPr>
        <w:spacing w:after="40"/>
      </w:pPr>
      <w:r>
        <w:rPr>
          <w:rFonts w:ascii="Arial" w:cs="Arial" w:eastAsia="Arial" w:hAnsi="Arial"/>
          <w:b/>
          <w:bCs/>
          <w:sz w:val="20"/>
          <w:szCs w:val="20"/>
        </w:rPr>
        <w:t xml:space="preserve">Improvement in AI literacy rankings </w:t>
      </w:r>
      <w:r>
        <w:rPr>
          <w:rFonts w:ascii="Arial" w:cs="Arial" w:eastAsia="Arial" w:hAnsi="Arial"/>
          <w:sz w:val="20"/>
          <w:szCs w:val="20"/>
        </w:rPr>
        <w:t xml:space="preserve">(target: top 20 globally, up from 44th/47).</w:t>
      </w:r>
    </w:p>
    <w:p>
      <w:pPr>
        <w:pStyle w:val="ListParagraph"/>
        <w:numPr>
          <w:ilvl w:val="0"/>
          <w:numId w:val="2"/>
        </w:numPr>
        <w:spacing w:after="40"/>
      </w:pPr>
      <w:r>
        <w:rPr>
          <w:rFonts w:ascii="Arial" w:cs="Arial" w:eastAsia="Arial" w:hAnsi="Arial"/>
          <w:b/>
          <w:bCs/>
          <w:sz w:val="20"/>
          <w:szCs w:val="20"/>
        </w:rPr>
        <w:t xml:space="preserve">Expanded adoption of AI across key industries, </w:t>
      </w:r>
      <w:r>
        <w:rPr>
          <w:rFonts w:ascii="Arial" w:cs="Arial" w:eastAsia="Arial" w:hAnsi="Arial"/>
          <w:sz w:val="20"/>
          <w:szCs w:val="20"/>
        </w:rPr>
        <w:t xml:space="preserve">driven by SME grants, regional application centres, and workforce training.</w:t>
      </w:r>
    </w:p>
    <w:p>
      <w:pPr>
        <w:spacing w:after="120"/>
      </w:pPr>
      <w:r>
        <w:rPr>
          <w:rFonts w:ascii="Arial" w:cs="Arial" w:eastAsia="Arial" w:hAnsi="Arial"/>
          <w:sz w:val="20"/>
          <w:szCs w:val="20"/>
        </w:rPr>
        <w:t xml:space="preserve">By addressing commercialization, infrastructure, and adoption simultaneously, Canada can transition from a research-driven AI ecosystem to a fully integrated AI economy. The three pillars are mutually reinforcing: compute infrastructure enables commercialization, commercialization drives adoption demand, and literacy creates the workforce and public trust needed to sustain growth. This integrated approach, informed by the proven strategies of Israel, Singapore, India, and the United Kingdom, positions Canada to close its critical gaps and compete as a global AI leader.</w:t>
      </w:r>
    </w:p>
    <w:sectPr>
      <w:headerReference w:type="default" r:id="rId6"/>
      <w:footerReference w:type="default" r:id="rId7"/>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4"/>
        <w:szCs w:val="14"/>
      </w:rPr>
      <w:t xml:space="preserve">MIE 1624H – Part 2: Enhanced Proposal for Canada’s AI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237E"/>
      <w:sz w:val="28"/>
      <w:szCs w:val="28"/>
    </w:rPr>
  </w:style>
  <w:style w:type="paragraph" w:styleId="Heading2">
    <w:name w:val="Heading 2"/>
    <w:basedOn w:val="Normal"/>
    <w:next w:val="Normal"/>
    <w:qFormat/>
    <w:pPr>
      <w:spacing w:before="180" w:after="80"/>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2026-03-20T23:15:45.833Z</dcterms:created>
  <dcterms:modified xsi:type="dcterms:W3CDTF">2026-03-20T23:15:45.834Z</dcterms:modified>
</cp:coreProperties>
</file>

<file path=docProps/custom.xml><?xml version="1.0" encoding="utf-8"?>
<Properties xmlns="http://schemas.openxmlformats.org/officeDocument/2006/custom-properties" xmlns:vt="http://schemas.openxmlformats.org/officeDocument/2006/docPropsVTypes"/>
</file>