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dh1eg1kemf0" w:id="0"/>
      <w:bookmarkEnd w:id="0"/>
      <w:r w:rsidDel="00000000" w:rsidR="00000000" w:rsidRPr="00000000">
        <w:rPr>
          <w:b w:val="1"/>
          <w:bCs w:val="1"/>
          <w:sz w:val="34"/>
          <w:szCs w:val="34"/>
          <w:rtl w:val="0"/>
        </w:rPr>
        <w:t xml:space="preserve">Part 3  Implementation Roadmap for Canada AI Strategy 2.0</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smozxh45ixc" w:id="1"/>
      <w:bookmarkEnd w:id="1"/>
      <w:r w:rsidDel="00000000" w:rsidR="00000000" w:rsidRPr="00000000">
        <w:rPr>
          <w:b w:val="1"/>
          <w:bCs w:val="1"/>
          <w:color w:val="000000"/>
          <w:sz w:val="26"/>
          <w:szCs w:val="26"/>
          <w:rtl w:val="0"/>
        </w:rPr>
        <w:t xml:space="preserve">3.1 From Strategy to Execution</w:t>
      </w:r>
    </w:p>
    <w:p w:rsidR="00000000" w:rsidDel="00000000" w:rsidP="00000000" w:rsidRDefault="00000000" w:rsidRPr="00000000" w14:paraId="00000003">
      <w:pPr>
        <w:spacing w:after="240" w:before="240" w:lineRule="auto"/>
        <w:rPr/>
      </w:pPr>
      <w:r w:rsidDel="00000000" w:rsidR="00000000" w:rsidRPr="00000000">
        <w:rPr>
          <w:rtl w:val="0"/>
        </w:rPr>
        <w:t xml:space="preserve">Part 2 proposed Canada AI Strategy 2.0 as a response to the structural weaknesses identified in Part 1. While Canada remains one of the world’s strongest AI research ecosystems, it continues to underperform in commercialization, broad based AI adoption, and integrated infrastructure coordination. In particular, Canada’s low AI company density, weak translation of research into scalable firms, fragmented compute access, and near bottom public AI literacy ranking demonstrate that the country’s AI system is not yet functioning as a fully integrated innovation economy.</w:t>
      </w:r>
    </w:p>
    <w:p w:rsidR="00000000" w:rsidDel="00000000" w:rsidP="00000000" w:rsidRDefault="00000000" w:rsidRPr="00000000" w14:paraId="00000004">
      <w:pPr>
        <w:spacing w:after="240" w:before="240" w:lineRule="auto"/>
        <w:rPr/>
      </w:pPr>
      <w:r w:rsidDel="00000000" w:rsidR="00000000" w:rsidRPr="00000000">
        <w:rPr>
          <w:rtl w:val="0"/>
        </w:rPr>
        <w:t xml:space="preserve">To address these shortcomings, Part 2 introduced three strategic pillars: Commercialization and AI Industry Growth, Compute and Infrastructure Sovereignty, and Adoption, Literacy, and Public Trust. This section translates those pillars into an actionable implementation roadmap. For each pillar, the roadmap specifies one flagship initiative, the main implementation actions, the responsible lead bodies, the expected 1–3 year timeline, the estimated cost, and one primary metric for measuring success. The purpose of this roadmap is not only to define what Canada should do, but also to clarify how the strategy can be executed within a one to three year policy horizon.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0cca2ac0080" w:id="2"/>
      <w:bookmarkEnd w:id="2"/>
      <w:r w:rsidDel="00000000" w:rsidR="00000000" w:rsidRPr="00000000">
        <w:rPr>
          <w:b w:val="1"/>
          <w:bCs w:val="1"/>
          <w:color w:val="000000"/>
          <w:sz w:val="26"/>
          <w:szCs w:val="26"/>
          <w:rtl w:val="0"/>
        </w:rPr>
        <w:t xml:space="preserve">3.2 Implementation Principles</w:t>
      </w:r>
    </w:p>
    <w:p w:rsidR="00000000" w:rsidDel="00000000" w:rsidP="00000000" w:rsidRDefault="00000000" w:rsidRPr="00000000" w14:paraId="00000006">
      <w:pPr>
        <w:spacing w:after="240" w:before="240" w:lineRule="auto"/>
        <w:rPr/>
      </w:pPr>
      <w:r w:rsidDel="00000000" w:rsidR="00000000" w:rsidRPr="00000000">
        <w:rPr>
          <w:rtl w:val="0"/>
        </w:rPr>
        <w:t xml:space="preserve">Three principles should guide the implementation of Canada AI Strategy 2.0.</w:t>
      </w:r>
    </w:p>
    <w:p w:rsidR="00000000" w:rsidDel="00000000" w:rsidP="00000000" w:rsidRDefault="00000000" w:rsidRPr="00000000" w14:paraId="00000007">
      <w:pPr>
        <w:spacing w:after="240" w:before="240" w:lineRule="auto"/>
        <w:rPr/>
      </w:pPr>
      <w:r w:rsidDel="00000000" w:rsidR="00000000" w:rsidRPr="00000000">
        <w:rPr>
          <w:rtl w:val="0"/>
        </w:rPr>
        <w:t xml:space="preserve">First, the strategy should build through existing institutional strengths rather than creating entirely new structures. Canada already has world-class AI institutes, including Mila, Vector, and Amii, as well as strong universities, CIFAR-linked research capacity, and federal ministries already engaged in innovation policy. The central challenge is not institutional absence, but weak coordination between research, commercialization, adoption, and infrastructure.</w:t>
      </w:r>
    </w:p>
    <w:p w:rsidR="00000000" w:rsidDel="00000000" w:rsidP="00000000" w:rsidRDefault="00000000" w:rsidRPr="00000000" w14:paraId="00000008">
      <w:pPr>
        <w:spacing w:after="240" w:before="240" w:lineRule="auto"/>
        <w:rPr/>
      </w:pPr>
      <w:r w:rsidDel="00000000" w:rsidR="00000000" w:rsidRPr="00000000">
        <w:rPr>
          <w:rtl w:val="0"/>
        </w:rPr>
        <w:t xml:space="preserve">Second, implementation should prioritize measurable economic and social outcomes. Part 1 showed that Canada’s weakness lies not in research generation, but in the conversion of research into firms, productivity gains, and broad public capability. As a result, each initiative should be evaluated using indicators tied to startup formation, compute utilization, adoption rates, skills development, and public trust rather than relying only on activity based metrics.</w:t>
      </w:r>
    </w:p>
    <w:p w:rsidR="00000000" w:rsidDel="00000000" w:rsidP="00000000" w:rsidRDefault="00000000" w:rsidRPr="00000000" w14:paraId="00000009">
      <w:pPr>
        <w:spacing w:after="240" w:before="240" w:lineRule="auto"/>
        <w:rPr/>
      </w:pPr>
      <w:r w:rsidDel="00000000" w:rsidR="00000000" w:rsidRPr="00000000">
        <w:rPr>
          <w:rtl w:val="0"/>
        </w:rPr>
        <w:t xml:space="preserve">Third, implementation should follow a phased model. A pilot first approach reduces policy risk, allows learning before scale-up, and makes it easier to align federal action with provincial systems, educational institutions, and private-sector actors. This is especially important in areas such as compute access, curriculum integration, and SME adoption, where demand patterns and institutional readiness may vary significantly across regions.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y2smtm3m2n0" w:id="3"/>
      <w:bookmarkEnd w:id="3"/>
      <w:r w:rsidDel="00000000" w:rsidR="00000000" w:rsidRPr="00000000">
        <w:rPr>
          <w:b w:val="1"/>
          <w:bCs w:val="1"/>
          <w:sz w:val="34"/>
          <w:szCs w:val="34"/>
          <w:rtl w:val="0"/>
        </w:rPr>
        <w:t xml:space="preserve">3.3 Pillar 1 Implementation: Canada AI Commercialization Fund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97fwdtfw81y" w:id="4"/>
      <w:bookmarkEnd w:id="4"/>
      <w:r w:rsidDel="00000000" w:rsidR="00000000" w:rsidRPr="00000000">
        <w:rPr>
          <w:b w:val="1"/>
          <w:bCs w:val="1"/>
          <w:color w:val="000000"/>
          <w:sz w:val="26"/>
          <w:szCs w:val="26"/>
          <w:rtl w:val="0"/>
        </w:rPr>
        <w:t xml:space="preserve">Objective</w:t>
      </w:r>
    </w:p>
    <w:p w:rsidR="00000000" w:rsidDel="00000000" w:rsidP="00000000" w:rsidRDefault="00000000" w:rsidRPr="00000000" w14:paraId="0000000D">
      <w:pPr>
        <w:spacing w:after="240" w:before="240" w:lineRule="auto"/>
        <w:rPr/>
      </w:pPr>
      <w:r w:rsidDel="00000000" w:rsidR="00000000" w:rsidRPr="00000000">
        <w:rPr>
          <w:rtl w:val="0"/>
        </w:rPr>
        <w:t xml:space="preserve">The objective of this pillar is to transform Canada’s research advantage into a globally competitive AI industry. Part 1 demonstrated that Canada has a world-class knowledge supply chain, including research institutes, top-ranked universities, and strong international talent inflows, yet it lags significantly behind leading countries in venture capital intensity, startup density, and commercialization outcomes. Canada’s AI company density is estimated to be roughly ten times lower than Israel’s on a per-capita basis, and its AI venture capital scale remains far below global leaders. This design is primarily informed by Israel’s commercialization focused model.</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s6z43n3wepd" w:id="5"/>
      <w:bookmarkEnd w:id="5"/>
      <w:r w:rsidDel="00000000" w:rsidR="00000000" w:rsidRPr="00000000">
        <w:rPr>
          <w:b w:val="1"/>
          <w:bCs w:val="1"/>
          <w:color w:val="000000"/>
          <w:sz w:val="26"/>
          <w:szCs w:val="26"/>
          <w:rtl w:val="0"/>
        </w:rPr>
        <w:t xml:space="preserve">Flagship Initiative: Canada AI Commercialization Fund</w:t>
      </w:r>
    </w:p>
    <w:p w:rsidR="00000000" w:rsidDel="00000000" w:rsidP="00000000" w:rsidRDefault="00000000" w:rsidRPr="00000000" w14:paraId="0000000F">
      <w:pPr>
        <w:spacing w:after="240" w:before="240" w:lineRule="auto"/>
        <w:rPr/>
      </w:pPr>
      <w:r w:rsidDel="00000000" w:rsidR="00000000" w:rsidRPr="00000000">
        <w:rPr>
          <w:rtl w:val="0"/>
        </w:rPr>
        <w:t xml:space="preserve">To close this gap, the federal government should establish a Canada AI Commercialization Fund as the lead implementation mechanism for the commercialization pillar. As proposed in Part 2, this fund would provide matching support for venture capital investments in AI startups, support university spin-offs, strengthen commercialization pipelines, and introduce AI-specific R&amp;D tax incentives tied to company formation and scale-up rather than research expenditure alone.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m8yuyrbhuat0" w:id="6"/>
      <w:bookmarkEnd w:id="6"/>
      <w:r w:rsidDel="00000000" w:rsidR="00000000" w:rsidRPr="00000000">
        <w:rPr>
          <w:b w:val="1"/>
          <w:bCs w:val="1"/>
          <w:color w:val="000000"/>
          <w:sz w:val="26"/>
          <w:szCs w:val="26"/>
          <w:rtl w:val="0"/>
        </w:rPr>
        <w:t xml:space="preserve">Core Policy Actions</w:t>
      </w:r>
    </w:p>
    <w:p w:rsidR="00000000" w:rsidDel="00000000" w:rsidP="00000000" w:rsidRDefault="00000000" w:rsidRPr="00000000" w14:paraId="00000011">
      <w:pPr>
        <w:spacing w:after="240" w:before="240" w:lineRule="auto"/>
        <w:rPr/>
      </w:pPr>
      <w:r w:rsidDel="00000000" w:rsidR="00000000" w:rsidRPr="00000000">
        <w:rPr>
          <w:rtl w:val="0"/>
        </w:rPr>
        <w:t xml:space="preserve">The first policy action should be a matching capital stream for early-stage and growth-stage Canadian AI firms. Under this model, public capital would be used to co-invest alongside qualified private investors, with the objective of reducing financing constraints for startups that have passed the research stage but have not yet achieved commercial scale. Public participation should be milestone-based, tied to product development, pilot deployment, customer acquisition, or employment growth.</w:t>
      </w:r>
    </w:p>
    <w:p w:rsidR="00000000" w:rsidDel="00000000" w:rsidP="00000000" w:rsidRDefault="00000000" w:rsidRPr="00000000" w14:paraId="00000012">
      <w:pPr>
        <w:spacing w:after="240" w:before="240" w:lineRule="auto"/>
        <w:rPr/>
      </w:pPr>
      <w:r w:rsidDel="00000000" w:rsidR="00000000" w:rsidRPr="00000000">
        <w:rPr>
          <w:rtl w:val="0"/>
        </w:rPr>
        <w:t xml:space="preserve">The second action should be a dedicated university spin-off commercialization stream. Canada already produces high-value AI research through institutions such as Mila, Vector, Amii, and major research universities, yet the transition from lab based research to startup creation remains underdeveloped. This stream should provide translational grants, IP support, incubator partnerships, and founder development support for research teams with commercially viable technologies.</w:t>
      </w:r>
    </w:p>
    <w:p w:rsidR="00000000" w:rsidDel="00000000" w:rsidP="00000000" w:rsidRDefault="00000000" w:rsidRPr="00000000" w14:paraId="00000013">
      <w:pPr>
        <w:spacing w:after="240" w:before="240" w:lineRule="auto"/>
        <w:rPr/>
      </w:pPr>
      <w:r w:rsidDel="00000000" w:rsidR="00000000" w:rsidRPr="00000000">
        <w:rPr>
          <w:rtl w:val="0"/>
        </w:rPr>
        <w:t xml:space="preserve">The third action should be the introduction of AI-specific R&amp;D tax incentives linked to commercialization outcomes. Existing innovation incentives often reward research activity without necessarily encouraging market deployment. A revised structure should reward firms that retain IP in Canada, build domestic teams, launch pilots with Canadian customers, or reach early revenue and scaling milestones.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rafvnd7q8uz" w:id="7"/>
      <w:bookmarkEnd w:id="7"/>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15">
      <w:pPr>
        <w:spacing w:after="240" w:before="240" w:lineRule="auto"/>
        <w:rPr/>
      </w:pPr>
      <w:r w:rsidDel="00000000" w:rsidR="00000000" w:rsidRPr="00000000">
        <w:rPr>
          <w:rtl w:val="0"/>
        </w:rPr>
        <w:t xml:space="preserve">In Year 1, the federal government should design the fund architecture, eligibility criteria, and governance model. During this phase, a pilot funding cohort should be launched for AI startups and spin-offs in major research and innovation hubs, including Toronto, Montreal, Edmonton, and Waterloo. A commercialization advisory board composed of government, academic, and private-sector stakeholders should also be established.</w:t>
      </w:r>
    </w:p>
    <w:p w:rsidR="00000000" w:rsidDel="00000000" w:rsidP="00000000" w:rsidRDefault="00000000" w:rsidRPr="00000000" w14:paraId="00000016">
      <w:pPr>
        <w:spacing w:after="240" w:before="240" w:lineRule="auto"/>
        <w:rPr/>
      </w:pPr>
      <w:r w:rsidDel="00000000" w:rsidR="00000000" w:rsidRPr="00000000">
        <w:rPr>
          <w:rtl w:val="0"/>
        </w:rPr>
        <w:t xml:space="preserve">In Year 2, the program should expand into a broader national rollout. This phase should include the spin-off stream, regional delivery through development agencies, and a standardized framework for milestone-based public-private co-investment. Tax incentive mechanisms should also be piloted and aligned with existing federal innovation programs.</w:t>
      </w:r>
    </w:p>
    <w:p w:rsidR="00000000" w:rsidDel="00000000" w:rsidP="00000000" w:rsidRDefault="00000000" w:rsidRPr="00000000" w14:paraId="00000017">
      <w:pPr>
        <w:spacing w:after="240" w:before="240" w:lineRule="auto"/>
        <w:rPr/>
      </w:pPr>
      <w:r w:rsidDel="00000000" w:rsidR="00000000" w:rsidRPr="00000000">
        <w:rPr>
          <w:rtl w:val="0"/>
        </w:rPr>
        <w:t xml:space="preserve">In Year 3, the fund should move to scale, with annual evaluation of firm survival rates, capital leveraged, and commercialization outputs. At this stage, the program should also incorporate lessons from regional uptake patterns in order to prevent overconcentration in a small number of cities.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9btlhpiz2ewl" w:id="8"/>
      <w:bookmarkEnd w:id="8"/>
      <w:r w:rsidDel="00000000" w:rsidR="00000000" w:rsidRPr="00000000">
        <w:rPr>
          <w:b w:val="1"/>
          <w:bCs w:val="1"/>
          <w:color w:val="000000"/>
          <w:sz w:val="26"/>
          <w:szCs w:val="26"/>
          <w:rtl w:val="0"/>
        </w:rPr>
        <w:t xml:space="preserve">Lead Institutions</w:t>
      </w:r>
    </w:p>
    <w:p w:rsidR="00000000" w:rsidDel="00000000" w:rsidP="00000000" w:rsidRDefault="00000000" w:rsidRPr="00000000" w14:paraId="00000019">
      <w:pPr>
        <w:spacing w:after="240" w:before="240" w:lineRule="auto"/>
        <w:rPr/>
      </w:pPr>
      <w:r w:rsidDel="00000000" w:rsidR="00000000" w:rsidRPr="00000000">
        <w:rPr>
          <w:rtl w:val="0"/>
        </w:rPr>
        <w:t xml:space="preserve">The lead federal body should be Innovation, Science and Economic Development Canada. Key implementation partners should include the National Research Council, the Business Development Bank of Canada, regional development agencies, provincial innovation partners, major AI institutes, universities, and private venture capital firms.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7lmfa3j2fexi" w:id="9"/>
      <w:bookmarkEnd w:id="9"/>
      <w:r w:rsidDel="00000000" w:rsidR="00000000" w:rsidRPr="00000000">
        <w:rPr>
          <w:b w:val="1"/>
          <w:bCs w:val="1"/>
          <w:color w:val="000000"/>
          <w:sz w:val="26"/>
          <w:szCs w:val="26"/>
          <w:rtl w:val="0"/>
        </w:rPr>
        <w:t xml:space="preserve">Estimated Cost and Funding Logic</w:t>
      </w:r>
    </w:p>
    <w:p w:rsidR="00000000" w:rsidDel="00000000" w:rsidP="00000000" w:rsidRDefault="00000000" w:rsidRPr="00000000" w14:paraId="0000001B">
      <w:pPr>
        <w:spacing w:after="240" w:before="240" w:lineRule="auto"/>
        <w:rPr/>
      </w:pPr>
      <w:r w:rsidDel="00000000" w:rsidR="00000000" w:rsidRPr="00000000">
        <w:rPr>
          <w:rtl w:val="0"/>
        </w:rPr>
        <w:t xml:space="preserve">A reasonable implementation envelope for this initiative would be approximately CAD 300–500 million over three years. This should be structured as catalytic public capital designed to crowd in larger volumes of private investment rather than fully replace market financing. Additional support for spin-off development and commercialization services could be partially integrated with existing innovation and entrepreneurship programs. This approach is consistent with Part 2’s emphasis on matching-fund mechanisms and tax incentives rather than direct state ownership or permanent subsidy. It also addresses a clear gap in the current Canadian policy mix: while existing programs support general innovation activity, Canada does not yet have a dedicated national mechanism focused specifically on AI commercialization, scale-up, and retention of domestically generated IP. Funding could be drawn from a combination of federal innovation-program reallocation and co-investment with private capital partners.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um7upxqm03uw" w:id="10"/>
      <w:bookmarkEnd w:id="10"/>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001D">
      <w:pPr>
        <w:spacing w:after="240" w:before="240" w:lineRule="auto"/>
        <w:rPr/>
      </w:pPr>
      <w:r w:rsidDel="00000000" w:rsidR="00000000" w:rsidRPr="00000000">
        <w:rPr>
          <w:rtl w:val="0"/>
        </w:rPr>
        <w:t xml:space="preserve">The primary success metric for this pillar should be the amount of private capital leveraged per public dollar. Supporting indicators should include the number of AI startups and scale-ups supported, the number of university spin-offs created, the two-year survival rate of supported firms, and growth in AI company density in major innovation regions.</w:t>
      </w:r>
      <w:r w:rsidDel="00000000" w:rsidR="00000000" w:rsidRPr="00000000">
        <w:rPr>
          <w:rtl w:val="0"/>
        </w:rPr>
        <w:t xml:space="preserve"> Over time, these indicators should also be interpreted against Canada’s commercialization gap relative to benchmark countries identified in Part 1, especially Israel.</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myt42oa6w3zl" w:id="11"/>
      <w:bookmarkEnd w:id="11"/>
      <w:r w:rsidDel="00000000" w:rsidR="00000000" w:rsidRPr="00000000">
        <w:rPr>
          <w:b w:val="1"/>
          <w:bCs w:val="1"/>
          <w:color w:val="000000"/>
          <w:sz w:val="26"/>
          <w:szCs w:val="26"/>
          <w:rtl w:val="0"/>
        </w:rPr>
        <w:t xml:space="preserve">Risks and Mitigation</w:t>
      </w:r>
    </w:p>
    <w:p w:rsidR="00000000" w:rsidDel="00000000" w:rsidP="00000000" w:rsidRDefault="00000000" w:rsidRPr="00000000" w14:paraId="0000001F">
      <w:pPr>
        <w:spacing w:after="240" w:before="240" w:lineRule="auto"/>
        <w:rPr/>
      </w:pPr>
      <w:r w:rsidDel="00000000" w:rsidR="00000000" w:rsidRPr="00000000">
        <w:rPr>
          <w:rtl w:val="0"/>
        </w:rPr>
        <w:t xml:space="preserve">The main risks are regional concentration, duplication with existing innovation programs, and weak commercialization readiness among research teams. These risks can be mitigated through regionally distributed pilot cohorts, milestone-based funding, coordination with existing accelerators and federal programs, and mandatory commercialization support for university-based applicants.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dhofqj9cpyix" w:id="12"/>
      <w:bookmarkEnd w:id="12"/>
      <w:r w:rsidDel="00000000" w:rsidR="00000000" w:rsidRPr="00000000">
        <w:rPr>
          <w:b w:val="1"/>
          <w:bCs w:val="1"/>
          <w:sz w:val="34"/>
          <w:szCs w:val="34"/>
          <w:rtl w:val="0"/>
        </w:rPr>
        <w:t xml:space="preserve">3.4 Pillar 2 Implementation: National AI Compute Grid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rb0j40v3gmbp" w:id="13"/>
      <w:bookmarkEnd w:id="13"/>
      <w:r w:rsidDel="00000000" w:rsidR="00000000" w:rsidRPr="00000000">
        <w:rPr>
          <w:b w:val="1"/>
          <w:bCs w:val="1"/>
          <w:color w:val="000000"/>
          <w:sz w:val="26"/>
          <w:szCs w:val="26"/>
          <w:rtl w:val="0"/>
        </w:rPr>
        <w:t xml:space="preserve">Objective</w:t>
      </w:r>
    </w:p>
    <w:p w:rsidR="00000000" w:rsidDel="00000000" w:rsidP="00000000" w:rsidRDefault="00000000" w:rsidRPr="00000000" w14:paraId="00000023">
      <w:pPr>
        <w:spacing w:after="240" w:before="240" w:lineRule="auto"/>
        <w:rPr/>
      </w:pPr>
      <w:r w:rsidDel="00000000" w:rsidR="00000000" w:rsidRPr="00000000">
        <w:rPr>
          <w:rtl w:val="0"/>
        </w:rPr>
        <w:t xml:space="preserve">The objective of this pillar is to establish AI compute as critical national infrastructure accessible to all major economic actors. Part 2 argued that Canada’s current compute strategy is directionally important but too narrowly focused on research infrastructure. While the Canadian Sovereign AI Compute Strategy allocates approximately CAD 2 billion to strengthen compute capacity, its commercial access mechanisms remain underdeveloped, especially for startups and SMEs. As a result, compute is still being treated primarily as scientific infrastructure rather than as core economic infrastructure. This approach is informed by Singapore’s treatment of AI compute as national infrastructure.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645ezy9ibh7u" w:id="14"/>
      <w:bookmarkEnd w:id="14"/>
      <w:r w:rsidDel="00000000" w:rsidR="00000000" w:rsidRPr="00000000">
        <w:rPr>
          <w:b w:val="1"/>
          <w:bCs w:val="1"/>
          <w:color w:val="000000"/>
          <w:sz w:val="26"/>
          <w:szCs w:val="26"/>
          <w:rtl w:val="0"/>
        </w:rPr>
        <w:t xml:space="preserve">Flagship Initiative: National AI Compute Grid</w:t>
      </w:r>
    </w:p>
    <w:p w:rsidR="00000000" w:rsidDel="00000000" w:rsidP="00000000" w:rsidRDefault="00000000" w:rsidRPr="00000000" w14:paraId="00000025">
      <w:pPr>
        <w:spacing w:after="240" w:before="240" w:lineRule="auto"/>
        <w:rPr/>
      </w:pPr>
      <w:r w:rsidDel="00000000" w:rsidR="00000000" w:rsidRPr="00000000">
        <w:rPr>
          <w:rtl w:val="0"/>
        </w:rPr>
        <w:t xml:space="preserve">To address this limitation, Canada should implement a National AI Compute Grid. As described in Part 2, this initiative would build a shared national GPU infrastructure, establish tiered access for startups, SMEs, and research institutions, and create a central coordination mechanism for allocation, governance, and performance monitoring.</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wvc1wi1c0y4i" w:id="15"/>
      <w:bookmarkEnd w:id="15"/>
      <w:r w:rsidDel="00000000" w:rsidR="00000000" w:rsidRPr="00000000">
        <w:rPr>
          <w:b w:val="1"/>
          <w:bCs w:val="1"/>
          <w:color w:val="000000"/>
          <w:sz w:val="26"/>
          <w:szCs w:val="26"/>
          <w:rtl w:val="0"/>
        </w:rPr>
        <w:t xml:space="preserve">Core Policy Actions</w:t>
      </w:r>
    </w:p>
    <w:p w:rsidR="00000000" w:rsidDel="00000000" w:rsidP="00000000" w:rsidRDefault="00000000" w:rsidRPr="00000000" w14:paraId="00000027">
      <w:pPr>
        <w:spacing w:after="240" w:before="240" w:lineRule="auto"/>
        <w:rPr/>
      </w:pPr>
      <w:r w:rsidDel="00000000" w:rsidR="00000000" w:rsidRPr="00000000">
        <w:rPr>
          <w:rtl w:val="0"/>
        </w:rPr>
        <w:t xml:space="preserve">The first action should be the creation of a shared sovereign compute backbone that integrates publicly supported infrastructure across research institutes, partner facilities, and national compute investments. Rather than dispersing capacity across fragmented entities, the grid should operate under a nationally coordinated access model.</w:t>
      </w:r>
    </w:p>
    <w:p w:rsidR="00000000" w:rsidDel="00000000" w:rsidP="00000000" w:rsidRDefault="00000000" w:rsidRPr="00000000" w14:paraId="00000028">
      <w:pPr>
        <w:spacing w:after="240" w:before="240" w:lineRule="auto"/>
        <w:rPr/>
      </w:pPr>
      <w:r w:rsidDel="00000000" w:rsidR="00000000" w:rsidRPr="00000000">
        <w:rPr>
          <w:rtl w:val="0"/>
        </w:rPr>
        <w:t xml:space="preserve">The second action should be a tiered access system. Research-intensive users, startups, SMEs, and public-sector innovators all face different constraints and should not be treated as a single user group. Startups and SMEs, in particular, should receive subsidized or priority access for commercially relevant experimentation, prototyping, and pilot deployment, since Part 2 identified the absence of structured commercial access as a major weakness of the current framework.</w:t>
      </w:r>
    </w:p>
    <w:p w:rsidR="00000000" w:rsidDel="00000000" w:rsidP="00000000" w:rsidRDefault="00000000" w:rsidRPr="00000000" w14:paraId="00000029">
      <w:pPr>
        <w:spacing w:after="240" w:before="240" w:lineRule="auto"/>
        <w:rPr/>
      </w:pPr>
      <w:r w:rsidDel="00000000" w:rsidR="00000000" w:rsidRPr="00000000">
        <w:rPr>
          <w:rtl w:val="0"/>
        </w:rPr>
        <w:t xml:space="preserve">The third action should be the creation of a central coordination office responsible for allocation standards, pricing policy, usage transparency, and strategic prioritization. This body should ensure that compute usage supports both research excellence and economic outcomes, linking infrastructure investment to startup growth, adoption, and productivity gains.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142q4rrl8xpg" w:id="16"/>
      <w:bookmarkEnd w:id="16"/>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2B">
      <w:pPr>
        <w:spacing w:after="240" w:before="240" w:lineRule="auto"/>
        <w:rPr/>
      </w:pPr>
      <w:r w:rsidDel="00000000" w:rsidR="00000000" w:rsidRPr="00000000">
        <w:rPr>
          <w:rtl w:val="0"/>
        </w:rPr>
        <w:t xml:space="preserve">In Year 1, the government should define the governance structure of the grid, identify participating infrastructure partners, and launch a pilot access program for startups, SMEs, and high-impact research teams. The program should also establish transparent allocation criteria and a usage tracking framework.</w:t>
      </w:r>
    </w:p>
    <w:p w:rsidR="00000000" w:rsidDel="00000000" w:rsidP="00000000" w:rsidRDefault="00000000" w:rsidRPr="00000000" w14:paraId="0000002C">
      <w:pPr>
        <w:spacing w:after="240" w:before="240" w:lineRule="auto"/>
        <w:rPr/>
      </w:pPr>
      <w:r w:rsidDel="00000000" w:rsidR="00000000" w:rsidRPr="00000000">
        <w:rPr>
          <w:rtl w:val="0"/>
        </w:rPr>
        <w:t xml:space="preserve">In Year 2, the grid should expand beyond pilot access into a broader national model. Regional application centres and sectoral innovation programs should be connected to compute support so that firms in manufacturing, health, agriculture, and public services can use compute resources for applied deployment rather than pure experimentation.</w:t>
      </w:r>
    </w:p>
    <w:p w:rsidR="00000000" w:rsidDel="00000000" w:rsidP="00000000" w:rsidRDefault="00000000" w:rsidRPr="00000000" w14:paraId="0000002D">
      <w:pPr>
        <w:spacing w:after="240" w:before="240" w:lineRule="auto"/>
        <w:rPr/>
      </w:pPr>
      <w:r w:rsidDel="00000000" w:rsidR="00000000" w:rsidRPr="00000000">
        <w:rPr>
          <w:rtl w:val="0"/>
        </w:rPr>
        <w:t xml:space="preserve">In Year 3, the compute grid should move into a full national operating model, with annual public reporting on utilization, economic impact, and user distribution. At that stage, access rules and subsidy structures should be refined based on real demand patterns and measurable outcomes.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64ppz8fxtvjv" w:id="17"/>
      <w:bookmarkEnd w:id="17"/>
      <w:r w:rsidDel="00000000" w:rsidR="00000000" w:rsidRPr="00000000">
        <w:rPr>
          <w:b w:val="1"/>
          <w:bCs w:val="1"/>
          <w:color w:val="000000"/>
          <w:sz w:val="26"/>
          <w:szCs w:val="26"/>
          <w:rtl w:val="0"/>
        </w:rPr>
        <w:t xml:space="preserve">Lead Institutions</w:t>
      </w:r>
    </w:p>
    <w:p w:rsidR="00000000" w:rsidDel="00000000" w:rsidP="00000000" w:rsidRDefault="00000000" w:rsidRPr="00000000" w14:paraId="0000002F">
      <w:pPr>
        <w:spacing w:after="240" w:before="240" w:lineRule="auto"/>
        <w:rPr/>
      </w:pPr>
      <w:r w:rsidDel="00000000" w:rsidR="00000000" w:rsidRPr="00000000">
        <w:rPr>
          <w:rtl w:val="0"/>
        </w:rPr>
        <w:t xml:space="preserve">The lead institution should again be Innovation, Science and Economic Development Canada. Major implementation partners should include Shared Services Canada, the National Research Council, CIFAR-linked institutions, provincial governments, cloud and data-centre partners, and the three national AI institutes.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59ye72szb5cw" w:id="18"/>
      <w:bookmarkEnd w:id="18"/>
      <w:r w:rsidDel="00000000" w:rsidR="00000000" w:rsidRPr="00000000">
        <w:rPr>
          <w:b w:val="1"/>
          <w:bCs w:val="1"/>
          <w:color w:val="000000"/>
          <w:sz w:val="26"/>
          <w:szCs w:val="26"/>
          <w:rtl w:val="0"/>
        </w:rPr>
        <w:t xml:space="preserve">Estimated Cost and Funding Logic</w:t>
      </w:r>
    </w:p>
    <w:p w:rsidR="00000000" w:rsidDel="00000000" w:rsidP="00000000" w:rsidRDefault="00000000" w:rsidRPr="00000000" w14:paraId="00000031">
      <w:pPr>
        <w:spacing w:after="240" w:before="240" w:lineRule="auto"/>
        <w:rPr/>
      </w:pPr>
      <w:r w:rsidDel="00000000" w:rsidR="00000000" w:rsidRPr="00000000">
        <w:rPr>
          <w:rtl w:val="0"/>
        </w:rPr>
        <w:t xml:space="preserve">Part 2 already noted that approximately CAD 2 billion has been committed through the Canadian Sovereign AI Compute Strategy. The implementation challenge, therefore, is not to replace the current strategy but to operationalize and broaden it. A practical approach would be to retain that existing baseline while allocating an additional CAD 200–300 million over three years for startup and SME access, national coordination, subsidized usage, and program administration. This would make the compute strategy more economy-facing without requiring a full redesign of the existing federal commitment. This additional envelope could be funded by reallocating a portion of the implementation budget within the existing sovereign compute framework and by pairing federal support with cost-sharing from participating infrastructure and cloud partners.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ji8fcso06ma" w:id="19"/>
      <w:bookmarkEnd w:id="19"/>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0033">
      <w:pPr>
        <w:spacing w:after="240" w:before="240" w:lineRule="auto"/>
        <w:rPr/>
      </w:pPr>
      <w:r w:rsidDel="00000000" w:rsidR="00000000" w:rsidRPr="00000000">
        <w:rPr>
          <w:rtl w:val="0"/>
        </w:rPr>
        <w:t xml:space="preserve">The primary success metric for this pillar should be the number of startups and SMEs receiving subsidized compute access. Supporting indicators should include GPU hours allocated, the share of compute capacity used for commercialization-oriented activities, the number of prototypes or models developed through supported access, and the number of downstream pilot deployments enabled. Over time, these indicators should also show whether the program is reducing infrastructure fragmentation and improving national coordination.</w: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kc55gidaxni" w:id="20"/>
      <w:bookmarkEnd w:id="20"/>
      <w:r w:rsidDel="00000000" w:rsidR="00000000" w:rsidRPr="00000000">
        <w:rPr>
          <w:b w:val="1"/>
          <w:bCs w:val="1"/>
          <w:color w:val="000000"/>
          <w:sz w:val="26"/>
          <w:szCs w:val="26"/>
          <w:rtl w:val="0"/>
        </w:rPr>
        <w:t xml:space="preserve">Risks and Mitigation</w:t>
      </w:r>
    </w:p>
    <w:p w:rsidR="00000000" w:rsidDel="00000000" w:rsidP="00000000" w:rsidRDefault="00000000" w:rsidRPr="00000000" w14:paraId="00000035">
      <w:pPr>
        <w:spacing w:after="240" w:before="240" w:lineRule="auto"/>
        <w:rPr/>
      </w:pPr>
      <w:r w:rsidDel="00000000" w:rsidR="00000000" w:rsidRPr="00000000">
        <w:rPr>
          <w:rtl w:val="0"/>
        </w:rPr>
        <w:t xml:space="preserve">The main risks are underutilization, access capture by a small number of elite institutions, and fragmented governance across participating entities. These risks can be mitigated through reserved allocation quotas for startups and SMEs, transparent access criteria, regular reporting, and centralized coordination authority with clear economic-performance mandates.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8zc8xzl68i0o" w:id="21"/>
      <w:bookmarkEnd w:id="21"/>
      <w:r w:rsidDel="00000000" w:rsidR="00000000" w:rsidRPr="00000000">
        <w:rPr>
          <w:b w:val="1"/>
          <w:bCs w:val="1"/>
          <w:sz w:val="34"/>
          <w:szCs w:val="34"/>
          <w:rtl w:val="0"/>
        </w:rPr>
        <w:t xml:space="preserve">3.5 Pillar 3 Implementation: AI-for-Canada Program</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yciih5tzqs43" w:id="22"/>
      <w:bookmarkEnd w:id="22"/>
      <w:r w:rsidDel="00000000" w:rsidR="00000000" w:rsidRPr="00000000">
        <w:rPr>
          <w:b w:val="1"/>
          <w:bCs w:val="1"/>
          <w:color w:val="000000"/>
          <w:sz w:val="26"/>
          <w:szCs w:val="26"/>
          <w:rtl w:val="0"/>
        </w:rPr>
        <w:t xml:space="preserve">Objective</w:t>
      </w:r>
    </w:p>
    <w:p w:rsidR="00000000" w:rsidDel="00000000" w:rsidP="00000000" w:rsidRDefault="00000000" w:rsidRPr="00000000" w14:paraId="00000039">
      <w:pPr>
        <w:spacing w:after="240" w:before="240" w:lineRule="auto"/>
        <w:rPr/>
      </w:pPr>
      <w:r w:rsidDel="00000000" w:rsidR="00000000" w:rsidRPr="00000000">
        <w:rPr>
          <w:rtl w:val="0"/>
        </w:rPr>
        <w:t xml:space="preserve">The objective of this pillar is to expand AI adoption across Canadian society while building literacy, workforce readiness, and public trust. Part 1 identified Canada’s AI literacy deficit as one of the most alarming findings in the entire analysis: despite world-class research capacity, Canada ranks 44th out of 47 countries in AI training and literacy. This suggests that AI capability is concentrated among specialists while much of the workforce and public remain underprepared to use, evaluate, and trust AI systems. Current federal efforts remain too narrow to solve this problem at scale, as they emphasize internal public-sector readiness and responsible use more than broad workforce capability, SME adoption, and public AI preparedness.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im7x5bidcipr" w:id="23"/>
      <w:bookmarkEnd w:id="23"/>
      <w:r w:rsidDel="00000000" w:rsidR="00000000" w:rsidRPr="00000000">
        <w:rPr>
          <w:b w:val="1"/>
          <w:bCs w:val="1"/>
          <w:color w:val="000000"/>
          <w:sz w:val="26"/>
          <w:szCs w:val="26"/>
          <w:rtl w:val="0"/>
        </w:rPr>
        <w:t xml:space="preserve">Flagship Initiative: AI-for-Canada Program</w:t>
      </w:r>
    </w:p>
    <w:p w:rsidR="00000000" w:rsidDel="00000000" w:rsidP="00000000" w:rsidRDefault="00000000" w:rsidRPr="00000000" w14:paraId="0000003B">
      <w:pPr>
        <w:spacing w:after="240" w:before="240" w:lineRule="auto"/>
        <w:rPr/>
      </w:pPr>
      <w:r w:rsidDel="00000000" w:rsidR="00000000" w:rsidRPr="00000000">
        <w:rPr>
          <w:rtl w:val="0"/>
        </w:rPr>
        <w:t xml:space="preserve">As proposed in Part 2, the implementation vehicle for this pillar should be a national AI-for-Canada Program. This initiative would serve as a coordinated national delivery platform for four linked streams: K–12 AI literacy, workforce reskilling, SME adoption support, and public trust and awareness. Part 1’s benchmark analysis suggests that this kind of program should combine India’s broad-based and accessible literacy model with the UK’s emphasis on trust and responsible use.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gigrirtin6f6" w:id="24"/>
      <w:bookmarkEnd w:id="24"/>
      <w:r w:rsidDel="00000000" w:rsidR="00000000" w:rsidRPr="00000000">
        <w:rPr>
          <w:b w:val="1"/>
          <w:bCs w:val="1"/>
          <w:color w:val="000000"/>
          <w:sz w:val="26"/>
          <w:szCs w:val="26"/>
          <w:rtl w:val="0"/>
        </w:rPr>
        <w:t xml:space="preserve">Core Policy Actions</w:t>
      </w:r>
    </w:p>
    <w:p w:rsidR="00000000" w:rsidDel="00000000" w:rsidP="00000000" w:rsidRDefault="00000000" w:rsidRPr="00000000" w14:paraId="0000003D">
      <w:pPr>
        <w:spacing w:after="240" w:before="240" w:lineRule="auto"/>
        <w:rPr/>
      </w:pPr>
      <w:r w:rsidDel="00000000" w:rsidR="00000000" w:rsidRPr="00000000">
        <w:rPr>
          <w:rtl w:val="0"/>
        </w:rPr>
        <w:t xml:space="preserve">The first action should be K–12 curriculum integration. AI literacy should not be treated as a niche technical specialty but as a foundational digital capability. Provincial education partners should be supported in introducing age-appropriate AI concepts, responsible use practices, and practical understanding of how generative AI tools work.</w:t>
      </w:r>
    </w:p>
    <w:p w:rsidR="00000000" w:rsidDel="00000000" w:rsidP="00000000" w:rsidRDefault="00000000" w:rsidRPr="00000000" w14:paraId="0000003E">
      <w:pPr>
        <w:spacing w:after="240" w:before="240" w:lineRule="auto"/>
        <w:rPr/>
      </w:pPr>
      <w:r w:rsidDel="00000000" w:rsidR="00000000" w:rsidRPr="00000000">
        <w:rPr>
          <w:rtl w:val="0"/>
        </w:rPr>
        <w:t xml:space="preserve">The second action should be a workforce reskilling stream delivered through colleges, continuing education providers, and professional certification programs. This stream should focus especially on workers in sectors where AI adoption is likely to reshape workflows, including administration, public service, healthcare, finance, logistics, and manufacturing.</w:t>
      </w:r>
    </w:p>
    <w:p w:rsidR="00000000" w:rsidDel="00000000" w:rsidP="00000000" w:rsidRDefault="00000000" w:rsidRPr="00000000" w14:paraId="0000003F">
      <w:pPr>
        <w:spacing w:after="240" w:before="240" w:lineRule="auto"/>
        <w:rPr/>
      </w:pPr>
      <w:r w:rsidDel="00000000" w:rsidR="00000000" w:rsidRPr="00000000">
        <w:rPr>
          <w:rtl w:val="0"/>
        </w:rPr>
        <w:t xml:space="preserve">The third action should be SME adoption grants. Part 2 argued that literacy and adoption must move together; firms cannot benefit from AI if they lack both tools and implementation capability. Small, targeted grants should therefore support AI tool adoption, consulting assistance, workflow redesign, and employee training.</w:t>
      </w:r>
    </w:p>
    <w:p w:rsidR="00000000" w:rsidDel="00000000" w:rsidP="00000000" w:rsidRDefault="00000000" w:rsidRPr="00000000" w14:paraId="00000040">
      <w:pPr>
        <w:spacing w:after="240" w:before="240" w:lineRule="auto"/>
        <w:rPr/>
      </w:pPr>
      <w:r w:rsidDel="00000000" w:rsidR="00000000" w:rsidRPr="00000000">
        <w:rPr>
          <w:rtl w:val="0"/>
        </w:rPr>
        <w:t xml:space="preserve">The fourth action should be a national public awareness campaign under the “AI for Canada” banner. Since public trust is a key barrier to adoption, this campaign should explain both the benefits and limitations of AI in clear, practical language. It should emphasize safe use, realistic expectations, and sector-specific examples rather than abstract promotion.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mmjmeeglm7vq" w:id="25"/>
      <w:bookmarkEnd w:id="25"/>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42">
      <w:pPr>
        <w:spacing w:after="240" w:before="240" w:lineRule="auto"/>
        <w:rPr/>
      </w:pPr>
      <w:r w:rsidDel="00000000" w:rsidR="00000000" w:rsidRPr="00000000">
        <w:rPr>
          <w:rtl w:val="0"/>
        </w:rPr>
        <w:t xml:space="preserve">In Year 1, the government should launch pilot education modules, begin curriculum collaboration with provinces, and develop initial workforce training programs through selected colleges and public training partners. At the same time, the first phase of the public awareness campaign should be introduced, alongside a pilot SME grant program in selected regions.</w:t>
      </w:r>
    </w:p>
    <w:p w:rsidR="00000000" w:rsidDel="00000000" w:rsidP="00000000" w:rsidRDefault="00000000" w:rsidRPr="00000000" w14:paraId="00000043">
      <w:pPr>
        <w:spacing w:after="240" w:before="240" w:lineRule="auto"/>
        <w:rPr/>
      </w:pPr>
      <w:r w:rsidDel="00000000" w:rsidR="00000000" w:rsidRPr="00000000">
        <w:rPr>
          <w:rtl w:val="0"/>
        </w:rPr>
        <w:t xml:space="preserve">In Year 2, the literacy and training components should be expanded nationally, with additional micro-credentials, sectoral modules, and public-sector training streams. SME adoption grants should also be widened to include more industries and underserved regions.</w:t>
      </w:r>
    </w:p>
    <w:p w:rsidR="00000000" w:rsidDel="00000000" w:rsidP="00000000" w:rsidRDefault="00000000" w:rsidRPr="00000000" w14:paraId="00000044">
      <w:pPr>
        <w:spacing w:after="240" w:before="240" w:lineRule="auto"/>
        <w:rPr/>
      </w:pPr>
      <w:r w:rsidDel="00000000" w:rsidR="00000000" w:rsidRPr="00000000">
        <w:rPr>
          <w:rtl w:val="0"/>
        </w:rPr>
        <w:t xml:space="preserve">In Year 3, the program should move to national scale and shift toward measured performance management. At that stage, literacy outcomes, training uptake, SME deployment patterns, and public trust indicators should be reviewed annually and used to refine the program.</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o0gt3zisw9x7" w:id="26"/>
      <w:bookmarkEnd w:id="26"/>
      <w:r w:rsidDel="00000000" w:rsidR="00000000" w:rsidRPr="00000000">
        <w:rPr>
          <w:b w:val="1"/>
          <w:bCs w:val="1"/>
          <w:color w:val="000000"/>
          <w:sz w:val="26"/>
          <w:szCs w:val="26"/>
          <w:rtl w:val="0"/>
        </w:rPr>
        <w:t xml:space="preserve">Lead Institutions</w:t>
      </w:r>
    </w:p>
    <w:p w:rsidR="00000000" w:rsidDel="00000000" w:rsidP="00000000" w:rsidRDefault="00000000" w:rsidRPr="00000000" w14:paraId="00000046">
      <w:pPr>
        <w:spacing w:after="240" w:before="240" w:lineRule="auto"/>
        <w:rPr/>
      </w:pPr>
      <w:r w:rsidDel="00000000" w:rsidR="00000000" w:rsidRPr="00000000">
        <w:rPr>
          <w:rtl w:val="0"/>
        </w:rPr>
        <w:t xml:space="preserve">The lead institutions should be Employment and Social Development Canada and Innovation, Science and Economic Development Canada, working in partnership with provincial ministries of education and labour, community colleges, universities, chambers of commerce, public-sector training organizations, and regional economic development actors.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r752o8hsiqas" w:id="27"/>
      <w:bookmarkEnd w:id="27"/>
      <w:r w:rsidDel="00000000" w:rsidR="00000000" w:rsidRPr="00000000">
        <w:rPr>
          <w:b w:val="1"/>
          <w:bCs w:val="1"/>
          <w:color w:val="000000"/>
          <w:sz w:val="26"/>
          <w:szCs w:val="26"/>
          <w:rtl w:val="0"/>
        </w:rPr>
        <w:t xml:space="preserve">Estimated Cost and Funding Logic</w:t>
      </w:r>
    </w:p>
    <w:p w:rsidR="00000000" w:rsidDel="00000000" w:rsidP="00000000" w:rsidRDefault="00000000" w:rsidRPr="00000000" w14:paraId="00000048">
      <w:pPr>
        <w:spacing w:after="240" w:before="240" w:lineRule="auto"/>
        <w:rPr/>
      </w:pPr>
      <w:r w:rsidDel="00000000" w:rsidR="00000000" w:rsidRPr="00000000">
        <w:rPr>
          <w:rtl w:val="0"/>
        </w:rPr>
        <w:t xml:space="preserve">A realistic estimate for this initiative would be CAD 150–250 million over three years. This cost range reflects the fact that much of the delivery infrastructure already exists in schools, colleges, workforce training systems, and business support networks. As Part 1 noted in its benchmark assessment, large-scale AI literacy programs do not necessarily require entirely new institutions if they are built through existing channels. Funding could be delivered through existing education, workforce development, and SME support channels, with federal cost-sharing agreements for provincial and regional partners.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qo7o2qp0kakz" w:id="28"/>
      <w:bookmarkEnd w:id="28"/>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004A">
      <w:pPr>
        <w:spacing w:after="240" w:before="240" w:lineRule="auto"/>
        <w:rPr/>
      </w:pPr>
      <w:r w:rsidDel="00000000" w:rsidR="00000000" w:rsidRPr="00000000">
        <w:rPr>
          <w:rtl w:val="0"/>
        </w:rPr>
        <w:t xml:space="preserve">The primary success metric for this pillar should be Canada’s improvement in international AI literacy and training rankings. Supporting indicators should include the number of students completing AI-related learning modules, the number of workers receiving AI-related training or certifications, the number of SMEs adopting AI tools through grant support, and changes in public trust and awareness over time. </w:t>
      </w:r>
      <w:r w:rsidDel="00000000" w:rsidR="00000000" w:rsidRPr="00000000">
        <w:rPr>
          <w:rtl w:val="0"/>
        </w:rPr>
        <w:t xml:space="preserve">The strategic aim should be to move Canada materially upward from its current literacy position and closer to the leading group of advanced economies in practical AI readiness.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tgxoxy8a88qk" w:id="29"/>
      <w:bookmarkEnd w:id="29"/>
      <w:r w:rsidDel="00000000" w:rsidR="00000000" w:rsidRPr="00000000">
        <w:rPr>
          <w:b w:val="1"/>
          <w:bCs w:val="1"/>
          <w:color w:val="000000"/>
          <w:sz w:val="26"/>
          <w:szCs w:val="26"/>
          <w:rtl w:val="0"/>
        </w:rPr>
        <w:t xml:space="preserve">Risks and Mitigation</w:t>
      </w:r>
    </w:p>
    <w:p w:rsidR="00000000" w:rsidDel="00000000" w:rsidP="00000000" w:rsidRDefault="00000000" w:rsidRPr="00000000" w14:paraId="0000004C">
      <w:pPr>
        <w:spacing w:after="240" w:before="240" w:lineRule="auto"/>
        <w:rPr/>
      </w:pPr>
      <w:r w:rsidDel="00000000" w:rsidR="00000000" w:rsidRPr="00000000">
        <w:rPr>
          <w:rtl w:val="0"/>
        </w:rPr>
        <w:t xml:space="preserve">The main risks are uneven provincial implementation, low SME uptake, and public resistance driven by fear or misunderstanding. These risks can be mitigated through federal-provincial coordination agreements, simplified grant applications, sector-specific communication, and an emphasis on practical use cases rather than abstract technological messaging.</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6mk7hiyjd763" w:id="30"/>
      <w:bookmarkEnd w:id="30"/>
      <w:r w:rsidDel="00000000" w:rsidR="00000000" w:rsidRPr="00000000">
        <w:rPr>
          <w:b w:val="1"/>
          <w:bCs w:val="1"/>
          <w:sz w:val="34"/>
          <w:szCs w:val="34"/>
          <w:rtl w:val="0"/>
        </w:rPr>
        <w:t xml:space="preserve">3.6 Integrated Roadmap and Expected Near-Term Outcomes</w:t>
      </w:r>
    </w:p>
    <w:p w:rsidR="00000000" w:rsidDel="00000000" w:rsidP="00000000" w:rsidRDefault="00000000" w:rsidRPr="00000000" w14:paraId="0000004F">
      <w:pPr>
        <w:spacing w:after="240" w:before="240" w:lineRule="auto"/>
        <w:rPr/>
      </w:pPr>
      <w:r w:rsidDel="00000000" w:rsidR="00000000" w:rsidRPr="00000000">
        <w:rPr>
          <w:rtl w:val="0"/>
        </w:rPr>
        <w:t xml:space="preserve">Taken together, the three implementation pillars form a mutually reinforcing system. The Commercialization Fund helps turn research capacity into firms and investment. The National AI Compute Grid provides the infrastructure required to build and deploy AI products at scale. The AI-for-Canada Program expands the workforce and social base needed for adoption, trust, and long-term productivity gains. This integrated structure is consistent with Part 2’s central argument. Canada’s main challenge is not the absence of isolated strengths, but the absence of strategic integration across the AI ecosystem.</w:t>
      </w:r>
    </w:p>
    <w:p w:rsidR="00000000" w:rsidDel="00000000" w:rsidP="00000000" w:rsidRDefault="00000000" w:rsidRPr="00000000" w14:paraId="00000050">
      <w:pPr>
        <w:spacing w:after="240" w:before="240" w:lineRule="auto"/>
        <w:rPr/>
      </w:pPr>
      <w:r w:rsidDel="00000000" w:rsidR="00000000" w:rsidRPr="00000000">
        <w:rPr>
          <w:rtl w:val="0"/>
        </w:rPr>
        <w:t xml:space="preserve">In the near term, this roadmap is expected to strengthen startup formation, improve access to compute for smaller firms, expand AI capability across the workforce, and raise Canada’s public readiness for AI adoption. More importantly, it provides a credible path for moving Canada beyond its current paradoxical position as a research leader with weak downstream economic performance. If executed effectively, Canada AI Strategy 2.0 would reposition the country toward a more coordinated and competitive AI economy. This is also aligned with the strategic positioning outlined in Part 2, which anticipates that successful implementation could move Canada toward a stronger competitiveness cluster internationally. In practical terms, the roadmap aims to move Canada from a research-led AI ecosystem to a deployment-led and investment-ready AI economy within a three-year implementation horizon.</w:t>
      </w:r>
    </w:p>
    <w:p w:rsidR="00000000" w:rsidDel="00000000" w:rsidP="00000000" w:rsidRDefault="00000000" w:rsidRPr="00000000" w14:paraId="00000051">
      <w:pPr>
        <w:spacing w:after="240" w:before="24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605"/>
        <w:gridCol w:w="1470"/>
        <w:gridCol w:w="1725"/>
        <w:gridCol w:w="1155"/>
        <w:gridCol w:w="1500"/>
        <w:tblGridChange w:id="0">
          <w:tblGrid>
            <w:gridCol w:w="1545"/>
            <w:gridCol w:w="1605"/>
            <w:gridCol w:w="1470"/>
            <w:gridCol w:w="1725"/>
            <w:gridCol w:w="1155"/>
            <w:gridCol w:w="15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pPr>
            <w:r w:rsidDel="00000000" w:rsidR="00000000" w:rsidRPr="00000000">
              <w:rPr>
                <w:b w:val="1"/>
                <w:bCs w:val="1"/>
                <w:rtl w:val="0"/>
              </w:rPr>
              <w:t xml:space="preserve">Pillar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center"/>
              <w:rPr/>
            </w:pPr>
            <w:r w:rsidDel="00000000" w:rsidR="00000000" w:rsidRPr="00000000">
              <w:rPr>
                <w:b w:val="1"/>
                <w:bCs w:val="1"/>
                <w:rtl w:val="0"/>
              </w:rPr>
              <w:t xml:space="preserve">Flagship Initiative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center"/>
              <w:rPr/>
            </w:pPr>
            <w:r w:rsidDel="00000000" w:rsidR="00000000" w:rsidRPr="00000000">
              <w:rPr>
                <w:b w:val="1"/>
                <w:bCs w:val="1"/>
                <w:rtl w:val="0"/>
              </w:rPr>
              <w:t xml:space="preserve">Lead Bodies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widowControl w:val="0"/>
              <w:spacing w:line="240" w:lineRule="auto"/>
              <w:jc w:val="center"/>
              <w:rPr/>
            </w:pPr>
            <w:r w:rsidDel="00000000" w:rsidR="00000000" w:rsidRPr="00000000">
              <w:rPr>
                <w:b w:val="1"/>
                <w:bCs w:val="1"/>
                <w:rtl w:val="0"/>
              </w:rPr>
              <w:t xml:space="preserve">Estimated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center"/>
              <w:rPr>
                <w:b w:val="1"/>
                <w:bCs w:val="1"/>
              </w:rPr>
            </w:pPr>
            <w:r w:rsidDel="00000000" w:rsidR="00000000" w:rsidRPr="00000000">
              <w:rPr>
                <w:b w:val="1"/>
                <w:bCs w:val="1"/>
                <w:rtl w:val="0"/>
              </w:rPr>
              <w:t xml:space="preserve">Key Metrics</w:t>
            </w:r>
          </w:p>
        </w:tc>
      </w:tr>
      <w:tr>
        <w:trPr>
          <w:cantSplit w:val="0"/>
          <w:trHeight w:val="1995.849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Commercialization and AI Industry Growth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Canada AI Commercialization Fund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ISED, NRC, BDC, universities, VC partners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CAD 300–500M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1–3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Primary metric: private capital leveraged per public dollar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Compute and Infrastructure Sovereignty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National AI Compute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ISED, Shared Services Canada, NRC, AI institutes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Existing CAD 2B baseline + CAD 200–300M implementation envelope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1–3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Primary metric: number of startups and SMEs receiving subsidized compute access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Adoption, Literacy, and Public Trust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AI-for-Canada 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ESDC, ISED, provinces, colleges, business partners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CAD 150–250M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1–3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Primary metric: Canada’s position in international AI literacy and training rankings</w:t>
            </w:r>
          </w:p>
        </w:tc>
      </w:tr>
    </w:tbl>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6017806" cy="3278805"/>
            <wp:effectExtent b="0" l="0" r="0" t="0"/>
            <wp:docPr id="1" name="image1.png"/>
            <a:graphic>
              <a:graphicData uri="http://schemas.openxmlformats.org/drawingml/2006/picture">
                <pic:pic>
                  <pic:nvPicPr>
                    <pic:cNvPr id="0" name="image1.png"/>
                    <pic:cNvPicPr preferRelativeResize="0"/>
                  </pic:nvPicPr>
                  <pic:blipFill>
                    <a:blip r:embed="rId6"/>
                    <a:srcRect b="2461" l="0" r="0" t="0"/>
                    <a:stretch>
                      <a:fillRect/>
                    </a:stretch>
                  </pic:blipFill>
                  <pic:spPr>
                    <a:xfrm>
                      <a:off x="0" y="0"/>
                      <a:ext cx="6017806" cy="327880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